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fc4f" w14:textId="38cf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2021 жылға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23 шілдедегі № 54 шешімі. Күші жойылды - Ақтөбе облысы Қарғалы аудандық мәслихатының 2021 жылғы 20 қыркүйектегі № 67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20.09.2021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Қарғалы ауданы бойынша 2021 жылға арналған жайылымдарды басқару және оларды пайдалану жөніндегі жоспар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23 шілдедегі № 54 шешіміне қосымша</w:t>
            </w:r>
          </w:p>
        </w:tc>
      </w:tr>
    </w:tbl>
    <w:bookmarkStart w:name="z6" w:id="3"/>
    <w:p>
      <w:pPr>
        <w:spacing w:after="0"/>
        <w:ind w:left="0"/>
        <w:jc w:val="left"/>
      </w:pPr>
      <w:r>
        <w:rPr>
          <w:rFonts w:ascii="Times New Roman"/>
          <w:b/>
          <w:i w:val="false"/>
          <w:color w:val="000000"/>
        </w:rPr>
        <w:t xml:space="preserve"> Қарғалы ауданы бойынша 2021 жылға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Осы, Қарғалы ауданы бойынша 2021 жылға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№173"Жайылымдарды ұтымды пайдалану қағидаларын бекіту туралы" (нормативтік құқықтық актілерді мемлекеттік тіркеу тізілімінде тіркелген№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Қарғалы ауданда 8 ауылдық округтер, 21 ауылдық елді-мекендер орналасқан.</w:t>
      </w:r>
    </w:p>
    <w:p>
      <w:pPr>
        <w:spacing w:after="0"/>
        <w:ind w:left="0"/>
        <w:jc w:val="both"/>
      </w:pPr>
      <w:r>
        <w:rPr>
          <w:rFonts w:ascii="Times New Roman"/>
          <w:b w:val="false"/>
          <w:i w:val="false"/>
          <w:color w:val="000000"/>
          <w:sz w:val="28"/>
        </w:rPr>
        <w:t>
      Қарғалы ауданының жалпы көлемі 499846 га, оның ішінде жайылымдық жерлер 300925 га, суландырылған жерлер–185673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353762 га;</w:t>
      </w:r>
    </w:p>
    <w:p>
      <w:pPr>
        <w:spacing w:after="0"/>
        <w:ind w:left="0"/>
        <w:jc w:val="both"/>
      </w:pPr>
      <w:r>
        <w:rPr>
          <w:rFonts w:ascii="Times New Roman"/>
          <w:b w:val="false"/>
          <w:i w:val="false"/>
          <w:color w:val="000000"/>
          <w:sz w:val="28"/>
        </w:rPr>
        <w:t>
      елді мекен жерлері– 85572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4113 га;</w:t>
      </w:r>
    </w:p>
    <w:p>
      <w:pPr>
        <w:spacing w:after="0"/>
        <w:ind w:left="0"/>
        <w:jc w:val="both"/>
      </w:pPr>
      <w:r>
        <w:rPr>
          <w:rFonts w:ascii="Times New Roman"/>
          <w:b w:val="false"/>
          <w:i w:val="false"/>
          <w:color w:val="000000"/>
          <w:sz w:val="28"/>
        </w:rPr>
        <w:t>
      қордағы жерлер – 15459 га.</w:t>
      </w:r>
    </w:p>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айында-20°С, -30°С, шілде айында +24°С, +35°С. Жауынның орташа түсімі 30 мм, ал жылдық 280-300 мм.</w:t>
      </w:r>
    </w:p>
    <w:p>
      <w:pPr>
        <w:spacing w:after="0"/>
        <w:ind w:left="0"/>
        <w:jc w:val="both"/>
      </w:pPr>
      <w:r>
        <w:rPr>
          <w:rFonts w:ascii="Times New Roman"/>
          <w:b w:val="false"/>
          <w:i w:val="false"/>
          <w:color w:val="000000"/>
          <w:sz w:val="28"/>
        </w:rPr>
        <w:t>
      Ауданның өсімдік жамылғысы әртүрлі, шамамен қоса алғанда 155 түрлері, селеулі- бетегелі-жусанды және бетегелі-жусандыөсімдіктер.</w:t>
      </w:r>
    </w:p>
    <w:p>
      <w:pPr>
        <w:spacing w:after="0"/>
        <w:ind w:left="0"/>
        <w:jc w:val="both"/>
      </w:pPr>
      <w:r>
        <w:rPr>
          <w:rFonts w:ascii="Times New Roman"/>
          <w:b w:val="false"/>
          <w:i w:val="false"/>
          <w:color w:val="000000"/>
          <w:sz w:val="28"/>
        </w:rPr>
        <w:t>
      Топырақ:оңтүстік азгумустық қаражер және қара-күреңдіктопырағы. Топырақтың құнарлы қабаттың қалыңдығы 40-50 см.</w:t>
      </w:r>
    </w:p>
    <w:p>
      <w:pPr>
        <w:spacing w:after="0"/>
        <w:ind w:left="0"/>
        <w:jc w:val="both"/>
      </w:pPr>
      <w:r>
        <w:rPr>
          <w:rFonts w:ascii="Times New Roman"/>
          <w:b w:val="false"/>
          <w:i w:val="false"/>
          <w:color w:val="000000"/>
          <w:sz w:val="28"/>
        </w:rPr>
        <w:t>
      Ауданда 8 мал дәрігерлік пункті, 8 қашырым пункті және 10 қарапайым мал көмінділері.</w:t>
      </w:r>
    </w:p>
    <w:p>
      <w:pPr>
        <w:spacing w:after="0"/>
        <w:ind w:left="0"/>
        <w:jc w:val="both"/>
      </w:pPr>
      <w:r>
        <w:rPr>
          <w:rFonts w:ascii="Times New Roman"/>
          <w:b w:val="false"/>
          <w:i w:val="false"/>
          <w:color w:val="000000"/>
          <w:sz w:val="28"/>
        </w:rPr>
        <w:t>
      Қазіргі уақытта Қарғалы ауданында мүйізді ірі қара 14842 бас, ұсақ мал 13956 бас, 2795 бас жылқы, шошқа 1165 бас және 37292құс саналады.</w:t>
      </w:r>
    </w:p>
    <w:p>
      <w:pPr>
        <w:spacing w:after="0"/>
        <w:ind w:left="0"/>
        <w:jc w:val="both"/>
      </w:pPr>
      <w:r>
        <w:rPr>
          <w:rFonts w:ascii="Times New Roman"/>
          <w:b w:val="false"/>
          <w:i w:val="false"/>
          <w:color w:val="000000"/>
          <w:sz w:val="28"/>
        </w:rPr>
        <w:t>
      Ауыл шаруашылығы жануарларын қамтамасыз ету үшін Қарғалы ауданы бойынша барлығы 300925 га жайылымдық алқаптары бар.Елді-мекен шегіндегіжайылымдары 80121 га жайылым саналады, қордағы жерлерде 591га жайылымдық алқаптар бар.</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РФ – 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шекараларымен алаңдары, жайылымдық инфрақұрылым обьектілері белгіленген карта</w:t>
      </w:r>
    </w:p>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