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92f1" w14:textId="e559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25 желтоқсандағы № С-71/2 "2021-2023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26 қарашадағы № 7С-15/2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кенттердің, ауылдық округтердің бюджеттері туралы" 2020 жылғы 25 желтоқсандағы № С-71/2 (Нормативтік құқықтық актілерді мемлекеттік тіркеу тізілімінде № 8327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183 687,6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149 222,6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188 493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36 990,6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37 490,6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84 180,1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90 451,7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30 806,8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34 106,8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55 543,5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56 943,5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36 224,5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36 225,1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29 123,9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29 718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19 423,4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19 423,4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38 982,8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39 691,9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25 140,1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26 040,1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17 403,4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17 903,4 мың теңге;";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мемлекеттік ұйындарының жұмыскерлерінің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 үшін қызметтік автомобиль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 аппаратының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30 лет Победы көшесі мен Александр Пушкин көшесі бойынша жүргінші жолды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Феликс Дзержинский көшесі 2А бойынша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Михаил Лермонтов көшесі 18 бойынша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кентінде Мерей көшесі бойынша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еңбектеріне ақы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 аппаратының мемлекеттік қызметшілерінің еңбек ақысые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 аппаратының мемлекеттік қызметшілерінің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