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39b0" w14:textId="6043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25 желтоқсандағы № 6С-67/2 "2021-2023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7 қыркүйектегі № 7С-14/2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Жарқайың ауданының Державин қаласы, ауылдық округтері мен ауылдарының бюджеттері туралы" 2020 жылғы 25 желтоқсандағы № 6С-67/2 (Нормативтік құқықтық актілерді мемлекеттік тіркеу тізілімінде № 8323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Державин қаласының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- 57186,1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- 77573,1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Державин қаласының бюджетінде аудандық бюджеттен берілетін бюджеттік субвенциялар 18286,0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Державин қаласының бюджетінде аудандық бюджеттен берілетін ағымдағы нысаналы трансферттер 8882,1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Уәлихан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- 22198,7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- 24965,7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- 2767,0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бюджеттік субвенциялар 14314,0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ағымдағы нысаналы трансферттер 3484,7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Костычево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- 18673,1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- 16622,1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- 19244,1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- 571,0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бюджеттік субвенциялар 12033,0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ағымдағы нысаналы трансферттер 4589,1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Нахимов ауылдық округінің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- 16606,5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бюджеттік субвенциялар 11468,0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ағымдағы нысаналы трансферттер 4118,5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Отрадный ауылдық округінің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- 19672,3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- 1576,0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Отрадный ауылдық округінің бюджетінде аудандық бюджеттен берілетін бюджеттік субвенциялар 12303,0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Отрадный ауылдық округінің бюджетінде аудандық бюджеттен берілетін ағымдағы нысаналы трансферттер 5169,3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Жаңадала ауылдық округінің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- 41965,7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- 43969,7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- 2004,0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бюджеттік субвенциялар 20031,0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ағымдағы нысаналы трансферттер 14685,7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Бірсуат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- 16505,5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бюджеттік субвенциялар 10207,0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ағымдағы нысаналы трансферттер 4698,5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Гастелло ауылының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- 18993,3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- 15863,3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- 20421,3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- 1428,0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бюджеттік субвенциялар 10740,0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ағымдағы нысаналы трансферттер 5123,3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Далабай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- 15781,9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- 15201,9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- 16189,9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- 408,0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бюджеттік субвенциялар 10371,0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ағымдағы нысаналы трансферттер 4830,9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Құмсуат ауылының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- 14130,1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- 13030,1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бюджеттік субвенциялар 10315,0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ағымдағы нысаналы трансферттер 2715,1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Львов ауылының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- 15527,0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- 1177,0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бюджеттік субвенциялар 10595,0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ағымдағы нысаналы трансферттер 3732,0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Пригород ауылының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бюджеттік субвенциялар 12543,0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ағымдағы нысаналы трансферттер 5078,0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Пятигор ауылының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- 14132,2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- 15719,2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бюджеттік субвенциялар 10177,0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ағымдағы нысаналы трансферттер 3955,2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Тасөткел ауылының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- 13981,0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бюджеттік субвенциялар 11761,0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ағымдағы нысаналы трансферттер 1720,0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Тассуат ауылының бюджеті тиісінше 43, 44 және 45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- 13893,7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- 14148,7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бюджеттік субвенциялар 9324,0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ағымдағы нысаналы трансферттер 4219,7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Үшқарасу ауылының бюджеті тиісінше 46, 47 және 48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- 14791,9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- 14391,9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- 15052,9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бюджеттік субвенциялар 9757,0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ағымдағы нысаналы трансферттер 4634,9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Шойындыкөл ауылының бюджеті тиісінше 49, 50 және 51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-18220,0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бюджеттік субвенциялар 10795,0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ағымдағы нысаналы трансферттер 4111,0 мың теңге сомасында қарастырылғаны ескерілсін.";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Державин қаласының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Костычево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Нахимов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Отрадный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Жаңадала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Гастелло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Далабай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Құмсуат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Львов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Пятигор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Үшқарасу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Шойындыкөл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