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3daa" w14:textId="dfd3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2021 жылғы 13 желтоқсандағы № 16/3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w:t>
            </w:r>
          </w:p>
          <w:p>
            <w:pPr>
              <w:spacing w:after="20"/>
              <w:ind w:left="20"/>
              <w:jc w:val="both"/>
            </w:pPr>
          </w:p>
          <w:p>
            <w:pPr>
              <w:spacing w:after="20"/>
              <w:ind w:left="20"/>
              <w:jc w:val="both"/>
            </w:pPr>
            <w:r>
              <w:rPr>
                <w:rFonts w:ascii="Times New Roman"/>
                <w:b w:val="false"/>
                <w:i/>
                <w:color w:val="000000"/>
                <w:sz w:val="20"/>
              </w:rPr>
              <w:t>хатшысының уақытша</w:t>
            </w:r>
          </w:p>
          <w:p>
            <w:pPr>
              <w:spacing w:after="20"/>
              <w:ind w:left="20"/>
              <w:jc w:val="both"/>
            </w:pPr>
            <w:r>
              <w:rPr>
                <w:rFonts w:ascii="Times New Roman"/>
                <w:b w:val="false"/>
                <w:i/>
                <w:color w:val="000000"/>
                <w:sz w:val="20"/>
              </w:rPr>
              <w:t>өкілеттілігін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