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4a75" w14:textId="4b64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2020 жылғы 25 желтоқсандағы № 6С-67/1 "2021-2023 жылдарға арналған Макинск қаласының, Бұланды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2021 жылғы 25 қарашадағы № 7С-12/1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"2021-2023 жылдарға арналған Макинск қаласының, Бұланды ауданының ауылдық округтерінің бюджеттері туралы" 2020 жылғы 25 желтоқсандағы № 6С-67/1 (Нормативтік құқықтық актілерді мемлекеттік тіркеу тізілімінде № 8326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Макинск қаласының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184121,3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90491,0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93630,3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192743,7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8622,4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Вознесенка ауылдық округінің бюджеті тиісінше 4, 5 және 6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22125,8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23276,5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1150,7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Қараөзек ауылдық округінің бюджеті тиісінше 7, 8 және 9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18222,2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Айнакөл ауылдық округінің бюджеті тиісінше 10, 11 және 12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12604,6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Амангелді ауылдық округінің бюджеті тиісінше 13, 14 және 15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19279,7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17617,7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19471,4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Капитоновка ауылдық округінің бюджеті тиісінше 16, 17 және 18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26110,4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26867,5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757,1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Новобратск ауылдық округінің бюджеті тиісінше 19, 20 және 21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16422,4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14596,4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Никольск ауылдық округінің бюджеті тиісінше 22, 23 және 24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22647,0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23981,6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- 1334,6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1334,6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Карамышевка ауылдық округінің бюджеті тиісінше 25, 26 және 27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22700,1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21314,1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709,2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Журавлевка ауылдық округінің бюджеті тиісінше 28, 29 және 30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27824,7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1656,7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Ерголка ауылдық округінің бюджеті тиісінше 31, 32 және 33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17103,6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Алтынды ауылдық округінің бюджеті тиісінше 34, 35 және 36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20908,7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21881,3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972,6 мың теңге.";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Макинск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Вознесенка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Қараөзек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Айнакөл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Капитоновка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Новобратск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Никольск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Карамышевка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Журавлевка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Ерголка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Алтынды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Макинск қаласының, Бұланды ауданының ауылдық округтерінің бюджеттерiне республикалық бюджеттен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Макинск қаласының, Бұланды ауданының ауылдық округтерінің бюджеттерiне облыстық бюджеттен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Айнакөл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Ерголка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