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cc3" w14:textId="e6b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25 желтоқсандағы № 71/2 "2021-2023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24 қарашадағы № 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Аршалы ауданының кент, ауылдық округтерінің бюджеттері туралы" 2020 жылғы 25 желтоқсандағы № 71/2 (Нормативтік кұқықтық актілерді мемлекеттік тіркеу тізілімінде № 8325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Аршалы кентінің бюджеті тиісінше 1, 2, 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67 669,6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Ижев ауылдық округінің бюджеті тиісінше 4, 5, 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31 677,9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Жібек жолы ауылдық округінің бюджеті тиісінше 7, 8, 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344 986,5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315 870,5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355 986,5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Анар ауылдық округінің бюджеті тиісінше 10, 11, 12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Бірсуат ауылдық округінің бюджеті тиісінше 13, 14, 15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Түрген ауылдық округінің бюджеті тиісінше 16, 17, 18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Константинов ауылдық округінің бюджеті тиісінше 19, 20, 21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Михайлов ауылдық округінің бюджеті тиісінше 22, 23, 24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Волгодонов ауылдық округінің бюджеті тиісінше 25, 26, 27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278 350,2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280 627,7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Арнасай ауылдық округінің бюджеті тиісінше 28, 29, 30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171 211,7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168 447,7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Сараба ауылдық округінің бюджеті тиісінше 31, 32, 33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21 408,4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Бұлақсай ауылдық округінің бюджеті тиісінше 34, 35, 36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24 880,8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Ақбұлақ ауылдық округінің бюджеті тиісінше 37, 38, 39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26 573,8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кент, ауылдық округ бюджеті түсімдерінің құрамында 40 қосымшаға сәйкес аудандық бюджеттен нысаналы трансферттер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 мен мемлекеттік қызметшілердің біліктілігін арттыру қызметтеріне ақы төлеу (әкім)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округіне сорғы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ауылының су тегеурінді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жолдарын қысқы уақытта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 жолдарын қысқы уақытта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ауылының сорғы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станциясындағы су құбыры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Аршалы ауданы Қостомар ауылындағы кентішілік автомобиль жолдарды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мемлекеттік қызметшілерге еңбекақы төлеуге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