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a211" w14:textId="d36a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8 маусымдағы № 130-НҚ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"Қазақстан Республикасы Қаржылық мониторинг агенттігінің кейбір мәселелері туралы" 2021 жылғы 20 ақпандағы № 515 Жарлығымен бекітілген Қазақстан Республикасының Қаржылық мониторинг агенттігі (бұдан әрі – Агенттік)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18-қосымшада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"6) Қазақстан Республикасының заңнамасында белгіленген тәртіпте Кинологиялық орталықтың қызметкерлерін іссапарға жіберу, демалыстар беру, қазақстандық және шетелдік оқу орталықтарында даярлау (қайта даярлау), біліктілігін арттыру мәселелерін шешеді;".</w:t>
      </w:r>
    </w:p>
    <w:bookmarkEnd w:id="7"/>
    <w:bookmarkStart w:name="z9" w:id="8"/>
    <w:p>
      <w:pPr>
        <w:spacing w:after="0"/>
        <w:ind w:left="0"/>
        <w:jc w:val="both"/>
      </w:pPr>
      <w:r>
        <w:rPr>
          <w:rFonts w:ascii="Times New Roman"/>
          <w:b w:val="false"/>
          <w:i w:val="false"/>
          <w:color w:val="000000"/>
          <w:sz w:val="28"/>
        </w:rPr>
        <w:t>
      2. Агенттіктің Құқықтық қамтамасыз ету департаментінің Заң басқармасы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8"/>
    <w:bookmarkStart w:name="z10" w:id="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Қаржылық мониторинг агенттігі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