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c4fc" w14:textId="764c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Батыс Қазақстан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244-қа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667-қа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667-қа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Батыс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Бұйрықтарының күші жойылды деп танылсын:</w:t>
      </w:r>
    </w:p>
    <w:bookmarkEnd w:id="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"2036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21 тамыздағы № 530-қа бұйрығы;</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"2029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21 тамыздағы № 529-қа бұйрығы.</w:t>
      </w:r>
    </w:p>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2029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"2036 әскери бөлімі" Республикалық мемлекеттік мекемесінің, "Қазақстан Республикасы Ұлттық қауіпсіздік комитеті Шекара қызметінің "2029 әскери бөлімі" Республикалық мемлекеттік мекемесіне қосылу кезінде өз қызметін тоқтату себебімен, оның бизнес-сәйкестендіру нөмірі 070540013814 ұлттық тізілімінен алынып тасталуын.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244-қа бұйрығымен 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Батыс Қазақстан облысы бойынша департаменті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Батыс Қазақстан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9"/>
    <w:bookmarkStart w:name="z13" w:id="10"/>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0"/>
    <w:bookmarkStart w:name="z14" w:id="11"/>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2"/>
    <w:bookmarkStart w:name="z16" w:id="13"/>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5"/>
    <w:bookmarkStart w:name="z19" w:id="16"/>
    <w:p>
      <w:pPr>
        <w:spacing w:after="0"/>
        <w:ind w:left="0"/>
        <w:jc w:val="both"/>
      </w:pPr>
      <w:r>
        <w:rPr>
          <w:rFonts w:ascii="Times New Roman"/>
          <w:b w:val="false"/>
          <w:i w:val="false"/>
          <w:color w:val="000000"/>
          <w:sz w:val="28"/>
        </w:rPr>
        <w:t>
      8. Заңды мекен-жайы: Қазақстан Республикасы, Батыс Қазақстан облысы, Орал қаласы, Конкина көшесі 3 үй, индексі 090004.</w:t>
      </w:r>
    </w:p>
    <w:bookmarkEnd w:id="16"/>
    <w:bookmarkStart w:name="z20" w:id="17"/>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Батыс Қазақстан облысы бойынша департаменті"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8"/>
    <w:bookmarkStart w:name="z22" w:id="19"/>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1"/>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1"/>
    <w:bookmarkStart w:name="z25" w:id="22"/>
    <w:p>
      <w:pPr>
        <w:spacing w:after="0"/>
        <w:ind w:left="0"/>
        <w:jc w:val="both"/>
      </w:pPr>
      <w:r>
        <w:rPr>
          <w:rFonts w:ascii="Times New Roman"/>
          <w:b w:val="false"/>
          <w:i w:val="false"/>
          <w:color w:val="000000"/>
          <w:sz w:val="28"/>
        </w:rPr>
        <w:t>
      13. Батыс Қазақстан облысы шегінде Шекара қызметі департаментінің негізгі міндеттері:</w:t>
      </w:r>
    </w:p>
    <w:bookmarkEnd w:id="22"/>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26" w:id="23"/>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Батыс Қазақстан облысында төмендегідей функцияларды жүзеге асырады:</w:t>
      </w:r>
    </w:p>
    <w:bookmarkEnd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мамандар дәрежесін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bookmarkStart w:name="z27" w:id="24"/>
    <w:p>
      <w:pPr>
        <w:spacing w:after="0"/>
        <w:ind w:left="0"/>
        <w:jc w:val="both"/>
      </w:pPr>
      <w:r>
        <w:rPr>
          <w:rFonts w:ascii="Times New Roman"/>
          <w:b w:val="false"/>
          <w:i w:val="false"/>
          <w:color w:val="000000"/>
          <w:sz w:val="28"/>
        </w:rPr>
        <w:t>
      15. Құқықтары мен міндеттері.</w:t>
      </w:r>
    </w:p>
    <w:bookmarkEnd w:id="24"/>
    <w:p>
      <w:pPr>
        <w:spacing w:after="0"/>
        <w:ind w:left="0"/>
        <w:jc w:val="both"/>
      </w:pPr>
      <w:r>
        <w:rPr>
          <w:rFonts w:ascii="Times New Roman"/>
          <w:b w:val="false"/>
          <w:i w:val="false"/>
          <w:color w:val="000000"/>
          <w:sz w:val="28"/>
        </w:rPr>
        <w:t>
      Шекара қызметінің департаменті өзінің құзіреттілігі шегінде:</w:t>
      </w:r>
    </w:p>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қамтамасыз сақтауын:</w:t>
      </w:r>
    </w:p>
    <w:p>
      <w:pPr>
        <w:spacing w:after="0"/>
        <w:ind w:left="0"/>
        <w:jc w:val="both"/>
      </w:pPr>
      <w:r>
        <w:rPr>
          <w:rFonts w:ascii="Times New Roman"/>
          <w:b w:val="false"/>
          <w:i w:val="false"/>
          <w:color w:val="000000"/>
          <w:sz w:val="28"/>
        </w:rPr>
        <w:t>
      Мемлекеттік шекараны режимін сұрақтарға қатысты:</w:t>
      </w:r>
    </w:p>
    <w:p>
      <w:pPr>
        <w:spacing w:after="0"/>
        <w:ind w:left="0"/>
        <w:jc w:val="both"/>
      </w:pPr>
      <w:r>
        <w:rPr>
          <w:rFonts w:ascii="Times New Roman"/>
          <w:b w:val="false"/>
          <w:i w:val="false"/>
          <w:color w:val="000000"/>
          <w:sz w:val="28"/>
        </w:rPr>
        <w:t xml:space="preserve">
      Мемлекеттік шекараны күту; </w:t>
      </w:r>
    </w:p>
    <w:p>
      <w:pPr>
        <w:spacing w:after="0"/>
        <w:ind w:left="0"/>
        <w:jc w:val="both"/>
      </w:pPr>
      <w:r>
        <w:rPr>
          <w:rFonts w:ascii="Times New Roman"/>
          <w:b w:val="false"/>
          <w:i w:val="false"/>
          <w:color w:val="000000"/>
          <w:sz w:val="28"/>
        </w:rPr>
        <w:t>
      Мемлекеттік шекара өтуін;</w:t>
      </w:r>
    </w:p>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өткізу пункттерінде режимінің сұрақтарға қатысты:</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шекара режим сұрақтарға қатысты:</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заңнамада белгіленген тәртіпте:</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xml:space="preserve">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Батыс Қазақстан шекаралық аумағы бойынша өкiлi болып табылады;</w:t>
      </w:r>
    </w:p>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Start w:name="z28" w:id="25"/>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5"/>
    <w:bookmarkStart w:name="z29" w:id="26"/>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26"/>
    <w:bookmarkStart w:name="z30" w:id="27"/>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28"/>
    <w:bookmarkStart w:name="z32" w:id="29"/>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29"/>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Start w:name="z33" w:id="30"/>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30"/>
    <w:bookmarkStart w:name="z34" w:id="31"/>
    <w:p>
      <w:pPr>
        <w:spacing w:after="0"/>
        <w:ind w:left="0"/>
        <w:jc w:val="left"/>
      </w:pPr>
      <w:r>
        <w:rPr>
          <w:rFonts w:ascii="Times New Roman"/>
          <w:b/>
          <w:i w:val="false"/>
          <w:color w:val="000000"/>
        </w:rPr>
        <w:t xml:space="preserve"> 4-тарау. Шекара қызметі департаментінің мүлкі</w:t>
      </w:r>
    </w:p>
    <w:bookmarkEnd w:id="31"/>
    <w:bookmarkStart w:name="z35" w:id="32"/>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32"/>
    <w:bookmarkStart w:name="z36" w:id="33"/>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33"/>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Start w:name="z37" w:id="34"/>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34"/>
    <w:bookmarkStart w:name="z38" w:id="35"/>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5"/>
    <w:bookmarkStart w:name="z39" w:id="36"/>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36"/>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