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9901" w14:textId="ac39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10 қарашадағы № 380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мекенжайы:Қазақстан Республикасы, 060011, Атырау қаласы, Әбілқайыр хан даңғылы, 38.";</w:t>
      </w:r>
    </w:p>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Қазақстан Республикасы,120008, Қызылорда облысы, Қызылорда қаласы, Нұрсұлтан Назарбаев даңғылы, 60А.".</w:t>
      </w:r>
    </w:p>
    <w:bookmarkStart w:name="z7" w:id="4"/>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бұйрыққа қол қойылған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9" w:id="6"/>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Энергетика министрлігінің және оның аумақтық органдарының интернет-ресурсында орналастыруды;</w:t>
      </w:r>
    </w:p>
    <w:bookmarkEnd w:id="6"/>
    <w:p>
      <w:pPr>
        <w:spacing w:after="0"/>
        <w:ind w:left="0"/>
        <w:jc w:val="both"/>
      </w:pPr>
      <w:r>
        <w:rPr>
          <w:rFonts w:ascii="Times New Roman"/>
          <w:b w:val="false"/>
          <w:i w:val="false"/>
          <w:color w:val="000000"/>
          <w:sz w:val="28"/>
        </w:rPr>
        <w:t>
      3) осы бұйрыққа қол қойылған күннен бастап бір ай мерзімде бұйрықтың көшірмесін қоса бере отырып, әділет органдарын хабардар етуді қамтамасыз етсін.</w:t>
      </w:r>
    </w:p>
    <w:bookmarkStart w:name="z10" w:id="7"/>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