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bd0e" w14:textId="dc4bd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Цифрлық даму, инновациялар және аэроғарыш өнеркәсібі министрлігі "Ақпараттық қауіпсіздік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міндетін атқарушының 2019 жылғы 22 шілдедегі № 169/НҚ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30 қыркүйектегі № 363/НҚ бұйрығы. Күші жойылды - Қазақстан Республикасы Премьер-Министрінің орынбасары – Жасанды интеллект және цифрлық даму министрінің 2025 жылғы 21 қазандағы № 527/НҚ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Жасанды интеллект және цифрлық даму министрінің 21.10.2025 </w:t>
      </w:r>
      <w:r>
        <w:rPr>
          <w:rFonts w:ascii="Times New Roman"/>
          <w:b w:val="false"/>
          <w:i w:val="false"/>
          <w:color w:val="ff0000"/>
          <w:sz w:val="28"/>
        </w:rPr>
        <w:t>№ 527/НҚ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цифрлық технологияларды реттеу мәселелері бойынша өзгерістер мен толықтырулар енгізу туралы" Қазақстан Республикасының 2020 жылғы 25 маусымдағы </w:t>
      </w:r>
      <w:r>
        <w:rPr>
          <w:rFonts w:ascii="Times New Roman"/>
          <w:b w:val="false"/>
          <w:i w:val="false"/>
          <w:color w:val="000000"/>
          <w:sz w:val="28"/>
        </w:rPr>
        <w:t>Заңына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Цифрлық даму, инновациялар және аэроғарыш өнеркәсібі министрлігі "Ақпараттық қауіпсіздік комитеті" Республикалық мемлекеттік мекемесінің ережесін бекіту туралы" Қазақстан Республикасының Цифрлық даму, инновациялар және аэроғарыш өнеркәсібі министрінің міндетін атқарушының 2019 жылғы 22 шілдедегі </w:t>
      </w:r>
      <w:r>
        <w:rPr>
          <w:rFonts w:ascii="Times New Roman"/>
          <w:b w:val="false"/>
          <w:i w:val="false"/>
          <w:color w:val="000000"/>
          <w:sz w:val="28"/>
        </w:rPr>
        <w:t>№ 169/НҚ</w:t>
      </w:r>
      <w:r>
        <w:rPr>
          <w:rFonts w:ascii="Times New Roman"/>
          <w:b w:val="false"/>
          <w:i w:val="false"/>
          <w:color w:val="000000"/>
          <w:sz w:val="28"/>
        </w:rPr>
        <w:t xml:space="preserve"> бұйрығына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Цифрлық даму, инновациялар және аэроғарыш өнеркәсібі министрлігі "Ақпараттық қауіпсіздік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Қазақстан Республикасы Цифрлық даму, инновациялар жəне аэроғарыш өнеркəсібі министрлігінің Ақпараттық қауіпсіздік комитеті (бұдан әрі – Комитет) Қазақстан Республикасы Цифрлық даму, инновациялар жəне аэроғарыш өнеркəсібі министрлігінің (бұдан әрі – Министрлік) Министрліктің ақпараттандыру саласындағы ақпараттық қауіпсіздікті қамтамасыз ету, дербес деректер және оларды қорғау саласында, стратегиялық функцияларын орындауға қатысатын, сондай-ақ Қазақстан Республикасының электрондық құжат және электрондық цифрлық қолтаңба туралы заңнамасын сақтау тұрғысында электрондық құжат және электрондық цифрлық қолтаңба саласындағы реттеушілік, іске асырушылық және бақылау функцияларын жүзеге асыратын ведомствосы болып табылады."; </w:t>
      </w:r>
    </w:p>
    <w:bookmarkStart w:name="z5" w:id="3"/>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xml:space="preserve">
      "1) ақпараттандыру салаларында ақпараттық қауіпсіздік аясында дербес деректерді қорғау, сондай-ақ Қазақстан Республикасының электрондық құжат және электрондық цифрлық қолтаңба туралы заңнамасын сақтау тұрғысында мемлекеттік саясатты іске асыру;"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Қазақстан Республикасының Қаржы нарығы мен қаржы ұйымдарын мемлекеттік реттеу, бақылау және қадағалау туралы заңнамасының талаптарын ескере отырып, ақпараттық-коммуникациялық технологиялар және ақпараттық қауіпсіздікті қамтамасыз ету саласындағы бірыңғай талаптарды әзірлеу;";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Қазақстан Республикасы Ұлттық қауіпсіздік комитетімен келісім бойынша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қағидаларын әзірлеу;";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"23) электрондық ақпараттық ресурстарды сақтаудың бірыңғай ұлттық резервтік платформасының жұмыс істеу қағидаларын әзірлеу, ақпараттық-коммуникациялық инфрақұрылымның аса маңызды объектілерінің электрондық ақпараттық ресурстарын резервтік көшіру кезеңділігін әзірлеу;";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"34) Қазақстан Республикасының Кәсіпкерлік кодексіне сәйкес тексеру парақтарын, тәуекел дәрежесін бағалау өлшемшарттарын, сондай-ақ тексерулер жүргізудің жартыжылдық кестелерін және бақылау мен қадағалау субъектісіне (объектісіне) бару арқылы профилактикалық бақылау мен қадағалау жүргізудің жартыжылдық тізімдерін әзірлеу;";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"39-2) Қазақстан Республикасының электрондық құжат және электрондық цифрлық қолтаңба туралы заңнамасының сақталуына мемлекеттік бақылауды жүзеге асыру;";</w:t>
      </w:r>
    </w:p>
    <w:bookmarkStart w:name="z13" w:id="4"/>
    <w:p>
      <w:pPr>
        <w:spacing w:after="0"/>
        <w:ind w:left="0"/>
        <w:jc w:val="both"/>
      </w:pPr>
      <w:r>
        <w:rPr>
          <w:rFonts w:ascii="Times New Roman"/>
          <w:b w:val="false"/>
          <w:i w:val="false"/>
          <w:color w:val="000000"/>
          <w:sz w:val="28"/>
        </w:rPr>
        <w:t>
      мынадай мазмұндағы 39-7), 39-8), 39-9), 39-10), 39-11), 39-12), 39-13), 39-14), 39-15), 39-16), 39-17), 39-18), 39-19) тармақшалармен толықтырылсын:</w:t>
      </w:r>
    </w:p>
    <w:bookmarkEnd w:id="4"/>
    <w:p>
      <w:pPr>
        <w:spacing w:after="0"/>
        <w:ind w:left="0"/>
        <w:jc w:val="both"/>
      </w:pPr>
      <w:r>
        <w:rPr>
          <w:rFonts w:ascii="Times New Roman"/>
          <w:b w:val="false"/>
          <w:i w:val="false"/>
          <w:color w:val="000000"/>
          <w:sz w:val="28"/>
        </w:rPr>
        <w:t>
      "39-7) дербес деректерді қорғау саласындағы мемлекеттік саясатты іске асыруды қамтамасыз ету;</w:t>
      </w:r>
    </w:p>
    <w:p>
      <w:pPr>
        <w:spacing w:after="0"/>
        <w:ind w:left="0"/>
        <w:jc w:val="both"/>
      </w:pPr>
      <w:r>
        <w:rPr>
          <w:rFonts w:ascii="Times New Roman"/>
          <w:b w:val="false"/>
          <w:i w:val="false"/>
          <w:color w:val="000000"/>
          <w:sz w:val="28"/>
        </w:rPr>
        <w:t>
      39-8) меншік иесінің және (немесе) оператордың, сондай-ақ үшінші тұлғаның дербес деректерді қорғау жөніндегі шараларды жүзеге асыру тәртібін әзірлеу;</w:t>
      </w:r>
    </w:p>
    <w:p>
      <w:pPr>
        <w:spacing w:after="0"/>
        <w:ind w:left="0"/>
        <w:jc w:val="both"/>
      </w:pPr>
      <w:r>
        <w:rPr>
          <w:rFonts w:ascii="Times New Roman"/>
          <w:b w:val="false"/>
          <w:i w:val="false"/>
          <w:color w:val="000000"/>
          <w:sz w:val="28"/>
        </w:rPr>
        <w:t>
      39-9) дербес деректерді жинау, өңдеу қағидаларын әзірлеу;</w:t>
      </w:r>
    </w:p>
    <w:p>
      <w:pPr>
        <w:spacing w:after="0"/>
        <w:ind w:left="0"/>
        <w:jc w:val="both"/>
      </w:pPr>
      <w:r>
        <w:rPr>
          <w:rFonts w:ascii="Times New Roman"/>
          <w:b w:val="false"/>
          <w:i w:val="false"/>
          <w:color w:val="000000"/>
          <w:sz w:val="28"/>
        </w:rPr>
        <w:t>
      39-10) дербес деректер субъектісінің дербес деректер мазмұнының және оларды өңдеу тәсілдерінің оларды өңдеу мақсаттарына сәйкестігі туралы өтініштерін қарау және тиісті шешім қабылдау;</w:t>
      </w:r>
    </w:p>
    <w:p>
      <w:pPr>
        <w:spacing w:after="0"/>
        <w:ind w:left="0"/>
        <w:jc w:val="both"/>
      </w:pPr>
      <w:r>
        <w:rPr>
          <w:rFonts w:ascii="Times New Roman"/>
          <w:b w:val="false"/>
          <w:i w:val="false"/>
          <w:color w:val="000000"/>
          <w:sz w:val="28"/>
        </w:rPr>
        <w:t>
      39-11) Қазақстан Республикасының дербес деректер және оларды қорғау туралы заңнамасының бұзылуына жол берген адамдарды Қазақстан Республикасының заңдарында белгіленген жауаптылыққа тарту жөнінде шаралар қабылдау;</w:t>
      </w:r>
    </w:p>
    <w:p>
      <w:pPr>
        <w:spacing w:after="0"/>
        <w:ind w:left="0"/>
        <w:jc w:val="both"/>
      </w:pPr>
      <w:r>
        <w:rPr>
          <w:rFonts w:ascii="Times New Roman"/>
          <w:b w:val="false"/>
          <w:i w:val="false"/>
          <w:color w:val="000000"/>
          <w:sz w:val="28"/>
        </w:rPr>
        <w:t>
      39-12) меншік иесінен және (немесе) оператордан, сондай-ақ үшінші тұлғадан дәйексіз немесе заңсыз жолмен алынған дербес деректерді нақтылауды, бұғаттауды немесе жоюды талап ету;</w:t>
      </w:r>
    </w:p>
    <w:p>
      <w:pPr>
        <w:spacing w:after="0"/>
        <w:ind w:left="0"/>
        <w:jc w:val="both"/>
      </w:pPr>
      <w:r>
        <w:rPr>
          <w:rFonts w:ascii="Times New Roman"/>
          <w:b w:val="false"/>
          <w:i w:val="false"/>
          <w:color w:val="000000"/>
          <w:sz w:val="28"/>
        </w:rPr>
        <w:t>
      39-13) дербес деректер субъектілерінің құқықтарын қорғауды жетілдіруге бағытталған шараларды жүзеге асыру;</w:t>
      </w:r>
    </w:p>
    <w:p>
      <w:pPr>
        <w:spacing w:after="0"/>
        <w:ind w:left="0"/>
        <w:jc w:val="both"/>
      </w:pPr>
      <w:r>
        <w:rPr>
          <w:rFonts w:ascii="Times New Roman"/>
          <w:b w:val="false"/>
          <w:i w:val="false"/>
          <w:color w:val="000000"/>
          <w:sz w:val="28"/>
        </w:rPr>
        <w:t>
      39-14) меншік иесінің және (немесе) оператордың өздері жүзеге асыратын міндеттерді орындау үшін қажетті және жеткілікті дербес деректердің тізбесін айқындау қағидаларын әзірлеу;</w:t>
      </w:r>
    </w:p>
    <w:p>
      <w:pPr>
        <w:spacing w:after="0"/>
        <w:ind w:left="0"/>
        <w:jc w:val="both"/>
      </w:pPr>
      <w:r>
        <w:rPr>
          <w:rFonts w:ascii="Times New Roman"/>
          <w:b w:val="false"/>
          <w:i w:val="false"/>
          <w:color w:val="000000"/>
          <w:sz w:val="28"/>
        </w:rPr>
        <w:t>
      39-15) куәландырушы орталықтарды аккредиттеуді жүргізу қағидаларын әзірлеу;</w:t>
      </w:r>
    </w:p>
    <w:p>
      <w:pPr>
        <w:spacing w:after="0"/>
        <w:ind w:left="0"/>
        <w:jc w:val="both"/>
      </w:pPr>
      <w:r>
        <w:rPr>
          <w:rFonts w:ascii="Times New Roman"/>
          <w:b w:val="false"/>
          <w:i w:val="false"/>
          <w:color w:val="000000"/>
          <w:sz w:val="28"/>
        </w:rPr>
        <w:t>
      39-16) ақпараттық жүйелердің, техникалық, бағдарламалық-техникалық және бағдарламалық құралдардың (бұйымдардың), ақпаратты қорғаудың техникалық құралдарының ақпараттық қауіпсіздік талаптарына сәйкестігін растау жөніндегі қағидаларды әзірлеу;</w:t>
      </w:r>
    </w:p>
    <w:p>
      <w:pPr>
        <w:spacing w:after="0"/>
        <w:ind w:left="0"/>
        <w:jc w:val="both"/>
      </w:pPr>
      <w:r>
        <w:rPr>
          <w:rFonts w:ascii="Times New Roman"/>
          <w:b w:val="false"/>
          <w:i w:val="false"/>
          <w:color w:val="000000"/>
          <w:sz w:val="28"/>
        </w:rPr>
        <w:t>
      39-17) қамтамасыз етілген цифрлық активтерді шығару және олардың айналымы тәртібін әзірлеу;</w:t>
      </w:r>
    </w:p>
    <w:p>
      <w:pPr>
        <w:spacing w:after="0"/>
        <w:ind w:left="0"/>
        <w:jc w:val="both"/>
      </w:pPr>
      <w:r>
        <w:rPr>
          <w:rFonts w:ascii="Times New Roman"/>
          <w:b w:val="false"/>
          <w:i w:val="false"/>
          <w:color w:val="000000"/>
          <w:sz w:val="28"/>
        </w:rPr>
        <w:t>
      39-18) Қазақстан Республикасы Ұлттық қауіпсіздік комитетімен келісу бойынша Интернетке қол жеткізудің бірыңғай шлюзінің және "электрондық үкіметтің" электрондық поштасының бірыңғай шлюзінің жұмыс істеу қағидаларын әзірлеу;</w:t>
      </w:r>
    </w:p>
    <w:p>
      <w:pPr>
        <w:spacing w:after="0"/>
        <w:ind w:left="0"/>
        <w:jc w:val="both"/>
      </w:pPr>
      <w:r>
        <w:rPr>
          <w:rFonts w:ascii="Times New Roman"/>
          <w:b w:val="false"/>
          <w:i w:val="false"/>
          <w:color w:val="000000"/>
          <w:sz w:val="28"/>
        </w:rPr>
        <w:t>
      39-19) цифрлық майнингті жүзеге асыру жөніндегі қызмет туралы хабардар ету тәртібін әзірлеу.".</w:t>
      </w:r>
    </w:p>
    <w:bookmarkStart w:name="z14" w:id="5"/>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 Қазақстан Республикасының заңнамасында белгіленген тәртіппен:</w:t>
      </w:r>
    </w:p>
    <w:bookmarkEnd w:id="5"/>
    <w:bookmarkStart w:name="z15" w:id="6"/>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оның қазақ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6" w:id="7"/>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 республикалық мемлекеттік мекемесінің ережесіне өзгерістер мен толықтырулар енгізілгені туралы тіркеуші органға хабарлауды;</w:t>
      </w:r>
    </w:p>
    <w:bookmarkEnd w:id="7"/>
    <w:bookmarkStart w:name="z17"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8"/>
    <w:bookmarkStart w:name="z19" w:id="9"/>
    <w:p>
      <w:pPr>
        <w:spacing w:after="0"/>
        <w:ind w:left="0"/>
        <w:jc w:val="both"/>
      </w:pPr>
      <w:r>
        <w:rPr>
          <w:rFonts w:ascii="Times New Roman"/>
          <w:b w:val="false"/>
          <w:i w:val="false"/>
          <w:color w:val="000000"/>
          <w:sz w:val="28"/>
        </w:rPr>
        <w:t>
      3. Осы бұйрықтың орындалуын бақылауды жетекшілік ететін Қазақстан Республикасының Цифрлық даму, инновациялар және аэроғарыш өнеркәсібі вице-министріне жүктелсін.</w:t>
      </w:r>
    </w:p>
    <w:bookmarkEnd w:id="9"/>
    <w:bookmarkStart w:name="z20" w:id="10"/>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