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8746" w14:textId="92c8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Бәсекелестікті қорғау және дамыту комитеті аумақтық бөлімшелерінің ережелерін бекіту туралы" Қазақстан Республикасы Ұлттық экономика министрлігінің Бәсекелестікті қорғау және дамыту комитеті төрағасының міндетін атқарушының 2019 жылғы 15 тамыздағы № 1-НҚ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Бәсекелестікті қорғау және дамыту комитеті Төрағасының 2019 жылғы 15 қарашадағы № 52-ОД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Бәсекелестікті қорғау және дамыту комитеті аумақтық бөлімшелерінің ережелерін бекіту туралы" Қазақстан Республикасы Ұлттық экономика министрлігінің Бәсекелестікті қорғау және дамыту комитеті төрағасының міндетін атқарушының 2019 жылғы 15 тамыздағы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Мұхтар Әуезов көшесі, 189 А.".</w:t>
      </w:r>
    </w:p>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 Бәсекелестікті қорғау және дамыту комитетінің Персоналды басқару қызметі (кадр қызметі)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xml:space="preserve">
      1) осы бұйрық бекітілген күнінен бастап күнтізбелік он күн ішінде оның көшірмелерін қағаз жеткізгіште және электронды нысанда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оны Қазақстан Республикасы Ұлттық экономика министрлігінің Бәсекелестікті қорғау және дамыту комитеті Ақмола облысы бойынша департаментінің назарына жеткізуді қамтамасыз етсін.</w:t>
      </w:r>
    </w:p>
    <w:bookmarkEnd w:id="6"/>
    <w:bookmarkStart w:name="z9"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Бәсекелестікті қорғау және дамыту комитетінің Ақмола облысы бойынша департаменті белгіленген мерзімде осы бұйрықтан туындайтын шараларды қабылдасын. </w:t>
      </w:r>
    </w:p>
    <w:bookmarkEnd w:id="7"/>
    <w:bookmarkStart w:name="z10" w:id="8"/>
    <w:p>
      <w:pPr>
        <w:spacing w:after="0"/>
        <w:ind w:left="0"/>
        <w:jc w:val="both"/>
      </w:pPr>
      <w:r>
        <w:rPr>
          <w:rFonts w:ascii="Times New Roman"/>
          <w:b w:val="false"/>
          <w:i w:val="false"/>
          <w:color w:val="000000"/>
          <w:sz w:val="28"/>
        </w:rPr>
        <w:t xml:space="preserve">
      4. Осы бұйрық қол қойылған күнінен бастап күшіне енеді.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Бәсекелестікті қорғау және дамыту</w:t>
            </w:r>
            <w:r>
              <w:br/>
            </w: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