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673e" w14:textId="4766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10 шілдедегі № 699 бұйрығы</w:t>
      </w:r>
    </w:p>
    <w:p>
      <w:pPr>
        <w:spacing w:after="0"/>
        <w:ind w:left="0"/>
        <w:jc w:val="both"/>
      </w:pPr>
      <w:bookmarkStart w:name="z1" w:id="0"/>
      <w:r>
        <w:rPr>
          <w:rFonts w:ascii="Times New Roman"/>
          <w:b w:val="false"/>
          <w:i w:val="false"/>
          <w:color w:val="000000"/>
          <w:sz w:val="28"/>
        </w:rPr>
        <w:t xml:space="preserve">
      "Қазақстан Республикасының астанасы – Астана қаласын Қазақстан Республикасының астанасы - Нұр-Сұлтан қаласы деп қайта атау туралы" Қазақстан Республикасы Президентінің 2019 жылғы 23 наурыздағы № 6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9877 болып тіркелген, "Әділет" ақпараттық-құқықтық жүйесінде 2014 жылғы 8 желтоқсанда жарияланған) мынадай өзгерістер мен толықтырулар енгiзiлсiн:</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Қазақстан Республикасы Қаржы министрлігінің Мемлекеттік мүлік және жекешелендіру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Комитеттің заңды мекенжайы: 010000, Нұр-Сұлтан қаласы, Жеңіс даңғылы, 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59-1), 59-2), 59-3), 59-4) және 59-5) тармақшалармен толықтырылсын:</w:t>
      </w:r>
    </w:p>
    <w:p>
      <w:pPr>
        <w:spacing w:after="0"/>
        <w:ind w:left="0"/>
        <w:jc w:val="both"/>
      </w:pPr>
      <w:r>
        <w:rPr>
          <w:rFonts w:ascii="Times New Roman"/>
          <w:b w:val="false"/>
          <w:i w:val="false"/>
          <w:color w:val="000000"/>
          <w:sz w:val="28"/>
        </w:rPr>
        <w:t>
      "59-1) мемлекеттік материалдық резервті және жедел басқарудағы мүлікті, арнаулы мемлекеттік және құқық қорғау органдарын, Қазақстан Республикасы Қарулы Күштерін, басқа да әскерлер мен әскери құралымдарды қоспағанда, орталық мемлекеттік органдардың аумақтық бөлімшелерін жүктелген функцияларды орындауы үшін қажетті мүлікпен қамтамасыз ету;</w:t>
      </w:r>
    </w:p>
    <w:p>
      <w:pPr>
        <w:spacing w:after="0"/>
        <w:ind w:left="0"/>
        <w:jc w:val="both"/>
      </w:pPr>
      <w:r>
        <w:rPr>
          <w:rFonts w:ascii="Times New Roman"/>
          <w:b w:val="false"/>
          <w:i w:val="false"/>
          <w:color w:val="000000"/>
          <w:sz w:val="28"/>
        </w:rPr>
        <w:t>
      59-2) мемлекеттік мүлік жөніндегі уәкілетті орган аумақтық бөлімшелерінің активтерін мемлекеттік мүлікті есепке алу саласындағы бірыңғай операторға сенімгерлік басқаруға беру бойынша шешім қабылдау;</w:t>
      </w:r>
    </w:p>
    <w:p>
      <w:pPr>
        <w:spacing w:after="0"/>
        <w:ind w:left="0"/>
        <w:jc w:val="both"/>
      </w:pPr>
      <w:r>
        <w:rPr>
          <w:rFonts w:ascii="Times New Roman"/>
          <w:b w:val="false"/>
          <w:i w:val="false"/>
          <w:color w:val="000000"/>
          <w:sz w:val="28"/>
        </w:rPr>
        <w:t>
      59-3) мемлекеттік мүлік жөніндегі уәкілетті орган аумақтық бөлімшелерінің мүлкін басқару және күтіп ұстау үшін мемлекеттік мүлікті есепке алу саласындағы бірыңғай операторды қаржыландыруды жүзеге асыру;</w:t>
      </w:r>
    </w:p>
    <w:p>
      <w:pPr>
        <w:spacing w:after="0"/>
        <w:ind w:left="0"/>
        <w:jc w:val="both"/>
      </w:pPr>
      <w:r>
        <w:rPr>
          <w:rFonts w:ascii="Times New Roman"/>
          <w:b w:val="false"/>
          <w:i w:val="false"/>
          <w:color w:val="000000"/>
          <w:sz w:val="28"/>
        </w:rPr>
        <w:t>
      59-4) мемлекеттік материалдық резервті және жедел басқарудағы мүлікті, арнаулы мемлекеттік және құқық қорғау органдарын, Қазақстан Республикасы Қарулы Күштерін, басқа да әскерлер мен әскери құралымдарды қоспағанда, орталық мемлекеттік органдардың аумақтық бөлімшелерін жүктелген функцияларды орындауы үшін мемлекеттік мүлік жөніндегі уәкілетті орган қамтамасыз ететін қажетті мүліктің тізбесін әзірлеу;</w:t>
      </w:r>
    </w:p>
    <w:p>
      <w:pPr>
        <w:spacing w:after="0"/>
        <w:ind w:left="0"/>
        <w:jc w:val="both"/>
      </w:pPr>
      <w:r>
        <w:rPr>
          <w:rFonts w:ascii="Times New Roman"/>
          <w:b w:val="false"/>
          <w:i w:val="false"/>
          <w:color w:val="000000"/>
          <w:sz w:val="28"/>
        </w:rPr>
        <w:t>
      59-5) мемлекеттік мүлік жөніндегі уәкілетті орган аумақтық бөлімшелерінің мемлекеттік мүлікті есепке алу саласындағы бірыңғай операторға сенімгерлік басқаруға берілетін активтерінің тізбесін әзірлеу;";</w:t>
      </w:r>
    </w:p>
    <w:p>
      <w:pPr>
        <w:spacing w:after="0"/>
        <w:ind w:left="0"/>
        <w:jc w:val="both"/>
      </w:pPr>
      <w:r>
        <w:rPr>
          <w:rFonts w:ascii="Times New Roman"/>
          <w:b w:val="false"/>
          <w:i w:val="false"/>
          <w:color w:val="000000"/>
          <w:sz w:val="28"/>
        </w:rPr>
        <w:t>
      Қазақстан Республикасы Қаржы министрлiгi Мемлекеттік мүлік және жекешелендіру комитетінің аумақтық органдары – мемлекеттік мекемелерінің тізбесінде: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"16. Қазақстан Республикасы Қаржы министрлiгi Мемлекеттік мүлік және жекешелендіру комитетінің Нұр-Сұлтан қаласы мемлекеттік мүлік және жекешелендіру департаменті.".</w:t>
      </w:r>
    </w:p>
    <w:bookmarkStart w:name="z7" w:id="3"/>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(Б.К. Тәшенов) заңнамада белгіленген тәртіппен: </w:t>
      </w:r>
    </w:p>
    <w:bookmarkEnd w:id="3"/>
    <w:bookmarkStart w:name="z8" w:id="4"/>
    <w:p>
      <w:pPr>
        <w:spacing w:after="0"/>
        <w:ind w:left="0"/>
        <w:jc w:val="both"/>
      </w:pPr>
      <w:r>
        <w:rPr>
          <w:rFonts w:ascii="Times New Roman"/>
          <w:b w:val="false"/>
          <w:i w:val="false"/>
          <w:color w:val="000000"/>
          <w:sz w:val="28"/>
        </w:rPr>
        <w:t>
      1) осы бұйрық қабылданған күннен бастап күнтізбелік он күн ішінде оны қазақ және орыс тілдерінде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