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bf40" w14:textId="6edb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 Қазақстан Республикасы Каржы министрінің 2014 жылғы 10 қазандағы № 430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22 маусымдағы № 620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9846 болып тіркелген, 2014 жылғы 18 қарашада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министрлiгiнің Қаржы мониторингі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"26) "Рұқсаттар және хабарламалар туралы" Қазақстан Республикасының Заңына сәйкес Заңның 3-бабы 1-тармағының 7) (адвокаттарды қоспағанда), 13) – 16) тармақшаларында көзделген қаржы мониторингі субъектілерін есепке алуды жүзеге асыру;</w:t>
      </w:r>
    </w:p>
    <w:p>
      <w:pPr>
        <w:spacing w:after="0"/>
        <w:ind w:left="0"/>
        <w:jc w:val="both"/>
      </w:pPr>
      <w:r>
        <w:rPr>
          <w:rFonts w:ascii="Times New Roman"/>
          <w:b w:val="false"/>
          <w:i w:val="false"/>
          <w:color w:val="000000"/>
          <w:sz w:val="28"/>
        </w:rPr>
        <w:t>
      27) "Рұқсаттар және хабарламалар туралы" Қазақстан Республикасының Заңына сәйкес осы Заңның 3-бабы 1-тармағының 7) (адвокаттарды қоспағанда), 13) – 16) тармақшаларында көзделген қаржы мониторингі субъектілерінен хабарламалар қабылдауды жүзеге асыру;";</w:t>
      </w:r>
    </w:p>
    <w:bookmarkStart w:name="z6" w:id="3"/>
    <w:p>
      <w:pPr>
        <w:spacing w:after="0"/>
        <w:ind w:left="0"/>
        <w:jc w:val="both"/>
      </w:pPr>
      <w:r>
        <w:rPr>
          <w:rFonts w:ascii="Times New Roman"/>
          <w:b w:val="false"/>
          <w:i w:val="false"/>
          <w:color w:val="000000"/>
          <w:sz w:val="28"/>
        </w:rPr>
        <w:t xml:space="preserve">
      мынадай мазмұндағы 32-1), 32-2) және 32-3) тармақшалармен толықтырылсын: </w:t>
      </w:r>
    </w:p>
    <w:bookmarkEnd w:id="3"/>
    <w:p>
      <w:pPr>
        <w:spacing w:after="0"/>
        <w:ind w:left="0"/>
        <w:jc w:val="both"/>
      </w:pPr>
      <w:r>
        <w:rPr>
          <w:rFonts w:ascii="Times New Roman"/>
          <w:b w:val="false"/>
          <w:i w:val="false"/>
          <w:color w:val="000000"/>
          <w:sz w:val="28"/>
        </w:rPr>
        <w:t xml:space="preserve">
      "32-1) қылмыстық кірістерді заңдастырудың (жылыстатудың) және терроризмді қаржыландырудың типологияларын, схемаларын және тәсілдерін бекіту және уәкілетті органның ресми интернет-ресурсында орналастыру арқылы қаржы мониторингі субъектілерінің назарына жеткізу; </w:t>
      </w:r>
    </w:p>
    <w:p>
      <w:pPr>
        <w:spacing w:after="0"/>
        <w:ind w:left="0"/>
        <w:jc w:val="both"/>
      </w:pPr>
      <w:r>
        <w:rPr>
          <w:rFonts w:ascii="Times New Roman"/>
          <w:b w:val="false"/>
          <w:i w:val="false"/>
          <w:color w:val="000000"/>
          <w:sz w:val="28"/>
        </w:rPr>
        <w:t xml:space="preserve">
      32-2)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жіберу;"; </w:t>
      </w:r>
    </w:p>
    <w:p>
      <w:pPr>
        <w:spacing w:after="0"/>
        <w:ind w:left="0"/>
        <w:jc w:val="both"/>
      </w:pPr>
      <w:r>
        <w:rPr>
          <w:rFonts w:ascii="Times New Roman"/>
          <w:b w:val="false"/>
          <w:i w:val="false"/>
          <w:color w:val="000000"/>
          <w:sz w:val="28"/>
        </w:rPr>
        <w:t>
      32-3) құқық қорғау және арнаулы мемлекеттік органдармен берілген ақпарат бойынша өзара іс-қимылды жүзеге асыру;".</w:t>
      </w:r>
    </w:p>
    <w:bookmarkStart w:name="z7" w:id="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(Ә.С. Жұмаділдаев) заңнамамен белгіленген тәртіпте:</w:t>
      </w:r>
    </w:p>
    <w:bookmarkEnd w:id="4"/>
    <w:bookmarkStart w:name="z8" w:id="5"/>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