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b50f" w14:textId="3aa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23 мамырдағы № 331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 мемлекеттік қызметшілерінің қызметтік этикасының қағидаларын бекіту туралы» Қазақстан Республикасы Білім және ғылым министрінің 2013 жылғы 29 қарашадағы № 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9034 болып тіркелген, «Егемен Қазақстан» газетінің 2014 жылғы 1 ақпандағы № 22 (28246) санында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мемлекеттік қызметшілерінің қызметтік этикасының қағидаларын бекіту туралы» Қазақстан Республикасы Білім және ғылым министрінің 2013 жылғы 29 қарашадағы № 482 бұйрығына өзгеріс енгізу туралы» Қазақстан Республикасы Білім және ғылым министрінің 2014 жылғы 15 қазандағы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9880 болып тіркелген, 2014 жылғы 15 желтоқсанда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Әкімшілік департаменті:</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бір апталық мерзімде Қазақстан Республикасы Әділет министрлігіне, «Әділет» ақпараттық-құқықтық жүйесіне, Қазақстан Республикасының нормативтік құқықтық актілерінің Эталондық бақылау банкіне және ресми баспасөз баспаларына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Білім және ғылым министрлігінің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Әкімшілік департаментінің директоры А. Қайырбековаға жүктелсін. </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