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a3a3" w14:textId="b4da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қаулыларының күші жойылды деп есептеу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2016 жылғы 20 қаңтардағы № 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жылдағы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әкімдігінің қаулысы күші жойылды деп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Астрахан ауданы әкімдігінің 2014 жылғы 23 сәуірдегі № 126 «Азаматтық қызметші болып табылатын және ауылдық жерде жұмыс істейтін білім беру, әлеуметтік қамсыздандыру және мәдениет саласындағы мамандар лауазымдарының тізбесін айқындау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4187 тіркелген, аудандық «Маяк» газетінде 2014 жылғы 6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Астрахан ауданы әкімдігінің 2015 жылғы 20 мамырдағы № 118 «Астрахан ауданы әкімдігінің 2014 жылғы 23 сәуірдегі № 126 «Азаматтық қызметші болып табылатын және ауылдық жерде жұмыс істейтін білім беру, әлеуметтік қамсыздандыру және мәдениет саласындағы мамандар лауазымдарының тізбесін айқындау туралы» қаулысына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4826 тіркелген, аудандық «Маяк» газетінде 2015 жылғы 26-3 мамырда- маусымда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