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b3a4" w14:textId="dbfb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"Шетел, қазақ және орыс тілдері бойынша түсу емтихандарын ұйымдастыру мен өткізу жөніндегі нұсқаулықты бекіту туралы" Қазақстан Республикасы Білім және ғылым министрінің міндетін атқарушының 2011 жылғы 1 шілдедегі № 301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2015 жылғы 29 маусымдағы № 421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«Шетел, қазақ және орыс тілдері бойынша түсу емтихандарын ұйымдастыру мен өткізу жөніндегі нұсқаулықты бекіту туралы» Қазақстан Республикасы Білім және ғылым министрінің міндетін атқарушының 2011 жылғы 11 шілдедегі 301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2011 жылғы 8 тамызда № 7104 болып тіркелген, «Егемен Қазақстан» газетінде 2012 жылғы 12 маусымдағы № 313-317 (27391)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оку орнынан кейінгі білім, халықаралық ынтымақтастық департаменті (С.С. Ысмағұлова) белгіленген заңнамалық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         Т. Балықбаев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