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2eda" w14:textId="ad42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министрі мен Қазақстан Республикасы Құрылыс және тұрғын үй-коммуналдық шаруашылық істері агенттігі төрағасының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2014 жылғы 27 маусымдағы № 184 және Қазақстан Республикасы Экономикалық Өңірлік даму министрінің 2014 жылғы 31 шілдедегі № 226/НҚ бірлескен бұйрығы</w:t>
      </w:r>
    </w:p>
    <w:p>
      <w:pPr>
        <w:spacing w:after="0"/>
        <w:ind w:left="0"/>
        <w:jc w:val="left"/>
      </w:pPr>
      <w:r>
        <w:rPr>
          <w:rFonts w:ascii="Times New Roman"/>
          <w:b/>
          <w:i w:val="false"/>
          <w:color w:val="000000"/>
        </w:rPr>
        <w:t xml:space="preserve"> БІРЛЕСКЕН БҰЙРЫҚ</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29-1-баптарына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Бірлескен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2010 жылғы 1 шілдедегі № 102 және Қазақстан Республикасы Құрылыс және тұрғын үй-коммуналдық шаруашылық істері агенттігі Төрағасының 2010 жылғы 30 маусымдағы № 276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6345 тіркелген);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2010 жылғы 1 шілдедегі № 102 және Қазақстан Республикасы Құрылыс және тұрғын үй-коммуналдық шаруашылық істері агенттігі Төрағасының 2010 жылғы 30 маусымдағы № 276 бірлескен бұйрығына өзгерістер енгізу туралы» Қазақстан Республикасы Экономикалық даму және сауда министрінің 2012 жылғы 1 ақпандағы № 37 және Қазақстан Республикасы Құрылыс және тұрғын үй-коммуналдық шаруашылық істері агенттігі төрағасының 2012 жылғы 31 қаңтардағы № 31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7469 тіркелген, Қазақстан Республикасының орталық атқарушы және өзге де орталық мемлекеттік органдарының 2012 жылғы № 4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(Н. А. Аязбаевқа) осы бұйрықтың көшірмесін бір апта мерзімде заңмен белгіленген тәртіппен Қазақстан Республикасы Әділет министрлігіне және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 мемлекеттік органдар басшыларының соңғысы қол қойған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Өңірлік даму министрі </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________________ Е. Досаев   ________________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