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a582" w14:textId="514a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"Аграрлық ғылым саласындағы үздік ғылыми зерттеулер мен жұмыстар үшін А.И. Бараев атындағы  (бірінші, екінші, үшінші сыйақылар) сыйақы беру тәртібі туралы ережелерін бекіту туралы" Қазақстан Республикасы Ауыл шаруашылығы министрінің 2007 жылғы 11 маусымдағы № 386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17 қаңтардағы № 31-2/16 бұйрығы.</w:t>
      </w:r>
    </w:p>
    <w:p>
      <w:pPr>
        <w:spacing w:after="0"/>
        <w:ind w:left="0"/>
        <w:jc w:val="both"/>
      </w:pPr>
      <w:bookmarkStart w:name="z1" w:id="0"/>
      <w:r>
        <w:rPr>
          <w:rFonts w:ascii="Times New Roman"/>
          <w:b w:val="false"/>
          <w:i w:val="false"/>
          <w:color w:val="000000"/>
          <w:sz w:val="28"/>
        </w:rPr>
        <w:t>
      «Ғылым саласындағы сыйлықтар мен мемлекеттік ғылыми сыйақылар туралы» Қазақстан Республикасы Үкіметінің 2011 жылғы 19 шілдедегі № 830 қаулысының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«Аграрлық ғылым саласындағы үздік ғылыми зерттеулер мен жұмыстар үшін А.И. Бараев атындағы (бірінші, екінші, үшінші сыйақылар) сыйақы беру тәртібі туралы ережелерін бекіту туралы» Қазақстан Республикасы Ауыл шаруашылығы министрінің 2007 жылғы 11 маусымдағы № 386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актілерін мемлекеттік тіркеу реестрінде № 4758 тіркелген, «Заң газеті» 2007 жылы 27 шілдеде № 114 (1143) санында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АӨК инвестициялық және инновациялық саясат департаменті (Құрманов Р.Ж.) белгіленген тәртіппен бір апта мерзім ішінде осы бұйрықтың көшірмесін Қазақстан Республикасы Әділет министрлігіне және бұдан бұрын жарияланған ресми баспа басылымдарына жіберсін.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