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47f4" w14:textId="ef54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Convention on Protection of Children and Co-operation in Respect of Intercountry Adoption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Закон Республики Казахстан от 12 марта 2010 года № 253-IV</w:t>
      </w:r>
    </w:p>
    <w:p>
      <w:pPr>
        <w:spacing w:after="0"/>
        <w:ind w:left="0"/>
        <w:jc w:val="both"/>
      </w:pPr>
      <w:bookmarkStart w:name="z1" w:id="0"/>
      <w:r>
        <w:rPr>
          <w:rFonts w:ascii="Times New Roman"/>
          <w:b w:val="false"/>
          <w:i w:val="false"/>
          <w:color w:val="000000"/>
          <w:sz w:val="28"/>
        </w:rPr>
        <w:t xml:space="preserve">
      To ratify the Convention on Protection of Children and Co-operation in Respect of Intercountry Adoption adopted in the Hague on 29 May 1993.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on Protection of Children and Co-operation in </w:t>
      </w:r>
      <w:r>
        <w:br/>
      </w:r>
      <w:r>
        <w:rPr>
          <w:rFonts w:ascii="Times New Roman"/>
          <w:b/>
          <w:i w:val="false"/>
          <w:color w:val="000000"/>
        </w:rPr>
        <w:t>
Respect of Intercountry Adoption</w:t>
      </w:r>
    </w:p>
    <w:bookmarkEnd w:id="1"/>
    <w:bookmarkStart w:name="z3" w:id="2"/>
    <w:p>
      <w:pPr>
        <w:spacing w:after="0"/>
        <w:ind w:left="0"/>
        <w:jc w:val="left"/>
      </w:pPr>
      <w:r>
        <w:rPr>
          <w:rFonts w:ascii="Times New Roman"/>
          <w:b/>
          <w:i w:val="false"/>
          <w:color w:val="000000"/>
        </w:rPr>
        <w:t xml:space="preserve"> 
(29 May 1993)</w:t>
      </w:r>
    </w:p>
    <w:bookmarkEnd w:id="2"/>
    <w:bookmarkStart w:name="z4" w:id="3"/>
    <w:p>
      <w:pPr>
        <w:spacing w:after="0"/>
        <w:ind w:left="0"/>
        <w:jc w:val="both"/>
      </w:pPr>
      <w:r>
        <w:rPr>
          <w:rFonts w:ascii="Times New Roman"/>
          <w:b w:val="false"/>
          <w:i w:val="false"/>
          <w:color w:val="000000"/>
          <w:sz w:val="28"/>
        </w:rPr>
        <w:t xml:space="preserve">
      The States signatory to the present Convention, </w:t>
      </w:r>
      <w:r>
        <w:br/>
      </w:r>
      <w:r>
        <w:rPr>
          <w:rFonts w:ascii="Times New Roman"/>
          <w:b w:val="false"/>
          <w:i w:val="false"/>
          <w:color w:val="000000"/>
          <w:sz w:val="28"/>
        </w:rPr>
        <w:t>
</w:t>
      </w:r>
      <w:r>
        <w:rPr>
          <w:rFonts w:ascii="Times New Roman"/>
          <w:b w:val="false"/>
          <w:i w:val="false"/>
          <w:color w:val="000000"/>
          <w:sz w:val="28"/>
        </w:rPr>
        <w:t xml:space="preserve">
      Recognising that the child, for the full and harmonious development of his or her personality, should grow up in a family environment, in an atmosphere of happiness, love and understanding, </w:t>
      </w:r>
      <w:r>
        <w:br/>
      </w:r>
      <w:r>
        <w:rPr>
          <w:rFonts w:ascii="Times New Roman"/>
          <w:b w:val="false"/>
          <w:i w:val="false"/>
          <w:color w:val="000000"/>
          <w:sz w:val="28"/>
        </w:rPr>
        <w:t>
</w:t>
      </w:r>
      <w:r>
        <w:rPr>
          <w:rFonts w:ascii="Times New Roman"/>
          <w:b w:val="false"/>
          <w:i w:val="false"/>
          <w:color w:val="000000"/>
          <w:sz w:val="28"/>
        </w:rPr>
        <w:t xml:space="preserve">
      Recalling that each State should take, as a matter of priority, appropriate measures to enable the child to remain in the care of his or her family of origin, </w:t>
      </w:r>
      <w:r>
        <w:br/>
      </w:r>
      <w:r>
        <w:rPr>
          <w:rFonts w:ascii="Times New Roman"/>
          <w:b w:val="false"/>
          <w:i w:val="false"/>
          <w:color w:val="000000"/>
          <w:sz w:val="28"/>
        </w:rPr>
        <w:t>
</w:t>
      </w:r>
      <w:r>
        <w:rPr>
          <w:rFonts w:ascii="Times New Roman"/>
          <w:b w:val="false"/>
          <w:i w:val="false"/>
          <w:color w:val="000000"/>
          <w:sz w:val="28"/>
        </w:rPr>
        <w:t xml:space="preserve">
      Recognising that intercountry adoption may offer the advantage of a permanent family to a child for whom a suitable family cannot be found in his or her State of origin, </w:t>
      </w:r>
      <w:r>
        <w:br/>
      </w:r>
      <w:r>
        <w:rPr>
          <w:rFonts w:ascii="Times New Roman"/>
          <w:b w:val="false"/>
          <w:i w:val="false"/>
          <w:color w:val="000000"/>
          <w:sz w:val="28"/>
        </w:rPr>
        <w:t>
</w:t>
      </w:r>
      <w:r>
        <w:rPr>
          <w:rFonts w:ascii="Times New Roman"/>
          <w:b w:val="false"/>
          <w:i w:val="false"/>
          <w:color w:val="000000"/>
          <w:sz w:val="28"/>
        </w:rPr>
        <w:t xml:space="preserve">
      Convinced of the necessity to take measures to ensure that intercountry adoptions are made in the best interests of the child and with respect for his or her fundamental rights, and to prevent the abduction, the sale of, or traffic in children, </w:t>
      </w:r>
      <w:r>
        <w:br/>
      </w:r>
      <w:r>
        <w:rPr>
          <w:rFonts w:ascii="Times New Roman"/>
          <w:b w:val="false"/>
          <w:i w:val="false"/>
          <w:color w:val="000000"/>
          <w:sz w:val="28"/>
        </w:rPr>
        <w:t>
</w:t>
      </w:r>
      <w:r>
        <w:rPr>
          <w:rFonts w:ascii="Times New Roman"/>
          <w:b w:val="false"/>
          <w:i w:val="false"/>
          <w:color w:val="000000"/>
          <w:sz w:val="28"/>
        </w:rPr>
        <w:t>
      Desiring to establish common provisions to this effect, taking into account the principles set forth in international instruments, in particular the United Nations </w:t>
      </w:r>
      <w:r>
        <w:rPr>
          <w:rFonts w:ascii="Times New Roman"/>
          <w:b w:val="false"/>
          <w:i w:val="false"/>
          <w:color w:val="000000"/>
          <w:sz w:val="28"/>
        </w:rPr>
        <w:t>Convention</w:t>
      </w:r>
      <w:r>
        <w:rPr>
          <w:rFonts w:ascii="Times New Roman"/>
          <w:b w:val="false"/>
          <w:i w:val="false"/>
          <w:color w:val="000000"/>
          <w:sz w:val="28"/>
        </w:rPr>
        <w:t xml:space="preserve"> on the Rights of the Child, of 20 November 1989, and the United Nations Declaration on Social and Legal Principles relating to the Protection and Welfare of Children, with Special Reference to Foster Placement and Adoption Nationally and Internationally (General Assembly Resolution 41/85, of 3 December 1986), </w:t>
      </w:r>
      <w:r>
        <w:br/>
      </w:r>
      <w:r>
        <w:rPr>
          <w:rFonts w:ascii="Times New Roman"/>
          <w:b w:val="false"/>
          <w:i w:val="false"/>
          <w:color w:val="000000"/>
          <w:sz w:val="28"/>
        </w:rPr>
        <w:t>
</w:t>
      </w:r>
      <w:r>
        <w:rPr>
          <w:rFonts w:ascii="Times New Roman"/>
          <w:b w:val="false"/>
          <w:i w:val="false"/>
          <w:color w:val="000000"/>
          <w:sz w:val="28"/>
        </w:rPr>
        <w:t xml:space="preserve">
      Have agreed upon the following provisions - </w:t>
      </w:r>
    </w:p>
    <w:bookmarkEnd w:id="3"/>
    <w:bookmarkStart w:name="z11" w:id="4"/>
    <w:p>
      <w:pPr>
        <w:spacing w:after="0"/>
        <w:ind w:left="0"/>
        <w:jc w:val="left"/>
      </w:pPr>
      <w:r>
        <w:rPr>
          <w:rFonts w:ascii="Times New Roman"/>
          <w:b/>
          <w:i w:val="false"/>
          <w:color w:val="000000"/>
        </w:rPr>
        <w:t xml:space="preserve"> 
chapter i - scope of the convention </w:t>
      </w:r>
    </w:p>
    <w:bookmarkEnd w:id="4"/>
    <w:bookmarkStart w:name="z12" w:id="5"/>
    <w:p>
      <w:pPr>
        <w:spacing w:after="0"/>
        <w:ind w:left="0"/>
        <w:jc w:val="left"/>
      </w:pPr>
      <w:r>
        <w:rPr>
          <w:rFonts w:ascii="Times New Roman"/>
          <w:b/>
          <w:i w:val="false"/>
          <w:color w:val="000000"/>
        </w:rPr>
        <w:t xml:space="preserve"> 
Article 1 </w:t>
      </w:r>
    </w:p>
    <w:bookmarkEnd w:id="5"/>
    <w:bookmarkStart w:name="z13" w:id="6"/>
    <w:p>
      <w:pPr>
        <w:spacing w:after="0"/>
        <w:ind w:left="0"/>
        <w:jc w:val="both"/>
      </w:pPr>
      <w:r>
        <w:rPr>
          <w:rFonts w:ascii="Times New Roman"/>
          <w:b w:val="false"/>
          <w:i w:val="false"/>
          <w:color w:val="000000"/>
          <w:sz w:val="28"/>
        </w:rPr>
        <w:t xml:space="preserve">
      The objects of the present Convention are - </w:t>
      </w:r>
      <w:r>
        <w:br/>
      </w:r>
      <w:r>
        <w:rPr>
          <w:rFonts w:ascii="Times New Roman"/>
          <w:b w:val="false"/>
          <w:i w:val="false"/>
          <w:color w:val="000000"/>
          <w:sz w:val="28"/>
        </w:rPr>
        <w:t>
</w:t>
      </w:r>
      <w:r>
        <w:rPr>
          <w:rFonts w:ascii="Times New Roman"/>
          <w:b w:val="false"/>
          <w:i w:val="false"/>
          <w:color w:val="000000"/>
          <w:sz w:val="28"/>
        </w:rPr>
        <w:t xml:space="preserve">
      a) to establish safeguards to ensure that intercountry adoptions take place in the best interests of the child and with respect for his or her fundamental rights as recognised in international law; </w:t>
      </w:r>
      <w:r>
        <w:br/>
      </w:r>
      <w:r>
        <w:rPr>
          <w:rFonts w:ascii="Times New Roman"/>
          <w:b w:val="false"/>
          <w:i w:val="false"/>
          <w:color w:val="000000"/>
          <w:sz w:val="28"/>
        </w:rPr>
        <w:t>
</w:t>
      </w:r>
      <w:r>
        <w:rPr>
          <w:rFonts w:ascii="Times New Roman"/>
          <w:b w:val="false"/>
          <w:i w:val="false"/>
          <w:color w:val="000000"/>
          <w:sz w:val="28"/>
        </w:rPr>
        <w:t xml:space="preserve">
      b) to establish a system of co-operation amongst Contracting States to ensure that those safeguards are respected and thereby prevent the abduction, the sale of, or traffic in children; </w:t>
      </w:r>
      <w:r>
        <w:br/>
      </w:r>
      <w:r>
        <w:rPr>
          <w:rFonts w:ascii="Times New Roman"/>
          <w:b w:val="false"/>
          <w:i w:val="false"/>
          <w:color w:val="000000"/>
          <w:sz w:val="28"/>
        </w:rPr>
        <w:t>
</w:t>
      </w:r>
      <w:r>
        <w:rPr>
          <w:rFonts w:ascii="Times New Roman"/>
          <w:b w:val="false"/>
          <w:i w:val="false"/>
          <w:color w:val="000000"/>
          <w:sz w:val="28"/>
        </w:rPr>
        <w:t xml:space="preserve">
      c) to secure the recognition in Contracting States of adoptions made in accordance with the Convention. </w:t>
      </w:r>
    </w:p>
    <w:bookmarkEnd w:id="6"/>
    <w:bookmarkStart w:name="z17" w:id="7"/>
    <w:p>
      <w:pPr>
        <w:spacing w:after="0"/>
        <w:ind w:left="0"/>
        <w:jc w:val="left"/>
      </w:pPr>
      <w:r>
        <w:rPr>
          <w:rFonts w:ascii="Times New Roman"/>
          <w:b/>
          <w:i w:val="false"/>
          <w:color w:val="000000"/>
        </w:rPr>
        <w:t xml:space="preserve"> 
Article 2 </w:t>
      </w:r>
    </w:p>
    <w:bookmarkEnd w:id="7"/>
    <w:bookmarkStart w:name="z18" w:id="8"/>
    <w:p>
      <w:pPr>
        <w:spacing w:after="0"/>
        <w:ind w:left="0"/>
        <w:jc w:val="both"/>
      </w:pPr>
      <w:r>
        <w:rPr>
          <w:rFonts w:ascii="Times New Roman"/>
          <w:b w:val="false"/>
          <w:i w:val="false"/>
          <w:color w:val="000000"/>
          <w:sz w:val="28"/>
        </w:rPr>
        <w:t xml:space="preserve">
      (1) The Convention shall apply where a child habitually resident in one Contracting State ("the State of origin") has been, is being, or is to be moved to another Contracting State ("the receiving State") either after his or her adoption in the State of origin by spouses or a person habitually resident in the receiving State, or for the purposes of such an adoption in the receiving State or in the State of origin. </w:t>
      </w:r>
      <w:r>
        <w:br/>
      </w:r>
      <w:r>
        <w:rPr>
          <w:rFonts w:ascii="Times New Roman"/>
          <w:b w:val="false"/>
          <w:i w:val="false"/>
          <w:color w:val="000000"/>
          <w:sz w:val="28"/>
        </w:rPr>
        <w:t>
</w:t>
      </w:r>
      <w:r>
        <w:rPr>
          <w:rFonts w:ascii="Times New Roman"/>
          <w:b w:val="false"/>
          <w:i w:val="false"/>
          <w:color w:val="000000"/>
          <w:sz w:val="28"/>
        </w:rPr>
        <w:t xml:space="preserve">
      (2) The Convention covers only adoptions which create a permanent parent-child relationship. </w:t>
      </w:r>
    </w:p>
    <w:bookmarkEnd w:id="8"/>
    <w:bookmarkStart w:name="z20" w:id="9"/>
    <w:p>
      <w:pPr>
        <w:spacing w:after="0"/>
        <w:ind w:left="0"/>
        <w:jc w:val="left"/>
      </w:pPr>
      <w:r>
        <w:rPr>
          <w:rFonts w:ascii="Times New Roman"/>
          <w:b/>
          <w:i w:val="false"/>
          <w:color w:val="000000"/>
        </w:rPr>
        <w:t xml:space="preserve"> 
Article 3 </w:t>
      </w:r>
    </w:p>
    <w:bookmarkEnd w:id="9"/>
    <w:bookmarkStart w:name="z21" w:id="10"/>
    <w:p>
      <w:pPr>
        <w:spacing w:after="0"/>
        <w:ind w:left="0"/>
        <w:jc w:val="both"/>
      </w:pPr>
      <w:r>
        <w:rPr>
          <w:rFonts w:ascii="Times New Roman"/>
          <w:b w:val="false"/>
          <w:i w:val="false"/>
          <w:color w:val="000000"/>
          <w:sz w:val="28"/>
        </w:rPr>
        <w:t>
      The Convention ceases to apply if the agreements mentioned in Article 17, </w:t>
      </w:r>
      <w:r>
        <w:rPr>
          <w:rFonts w:ascii="Times New Roman"/>
          <w:b w:val="false"/>
          <w:i w:val="false"/>
          <w:color w:val="000000"/>
          <w:sz w:val="28"/>
        </w:rPr>
        <w:t>sub-paragraph c</w:t>
      </w:r>
      <w:r>
        <w:rPr>
          <w:rFonts w:ascii="Times New Roman"/>
          <w:b w:val="false"/>
          <w:i w:val="false"/>
          <w:color w:val="000000"/>
          <w:sz w:val="28"/>
        </w:rPr>
        <w:t xml:space="preserve">, have not been given before the child attains the age of eighteen years. </w:t>
      </w:r>
    </w:p>
    <w:bookmarkEnd w:id="10"/>
    <w:bookmarkStart w:name="z22" w:id="11"/>
    <w:p>
      <w:pPr>
        <w:spacing w:after="0"/>
        <w:ind w:left="0"/>
        <w:jc w:val="left"/>
      </w:pPr>
      <w:r>
        <w:rPr>
          <w:rFonts w:ascii="Times New Roman"/>
          <w:b/>
          <w:i w:val="false"/>
          <w:color w:val="000000"/>
        </w:rPr>
        <w:t xml:space="preserve"> 
chapter ii - requirements for intercountry adoptions </w:t>
      </w:r>
    </w:p>
    <w:bookmarkEnd w:id="11"/>
    <w:bookmarkStart w:name="z23" w:id="12"/>
    <w:p>
      <w:pPr>
        <w:spacing w:after="0"/>
        <w:ind w:left="0"/>
        <w:jc w:val="left"/>
      </w:pPr>
      <w:r>
        <w:rPr>
          <w:rFonts w:ascii="Times New Roman"/>
          <w:b/>
          <w:i w:val="false"/>
          <w:color w:val="000000"/>
        </w:rPr>
        <w:t xml:space="preserve"> 
Article 4 </w:t>
      </w:r>
    </w:p>
    <w:bookmarkEnd w:id="12"/>
    <w:bookmarkStart w:name="z24" w:id="13"/>
    <w:p>
      <w:pPr>
        <w:spacing w:after="0"/>
        <w:ind w:left="0"/>
        <w:jc w:val="both"/>
      </w:pPr>
      <w:r>
        <w:rPr>
          <w:rFonts w:ascii="Times New Roman"/>
          <w:b w:val="false"/>
          <w:i w:val="false"/>
          <w:color w:val="000000"/>
          <w:sz w:val="28"/>
        </w:rPr>
        <w:t xml:space="preserve">
      An adoption within the scope of the Convention shall take place only if the competent authorities of the State of origin - </w:t>
      </w:r>
      <w:r>
        <w:br/>
      </w:r>
      <w:r>
        <w:rPr>
          <w:rFonts w:ascii="Times New Roman"/>
          <w:b w:val="false"/>
          <w:i w:val="false"/>
          <w:color w:val="000000"/>
          <w:sz w:val="28"/>
        </w:rPr>
        <w:t>
</w:t>
      </w:r>
      <w:r>
        <w:rPr>
          <w:rFonts w:ascii="Times New Roman"/>
          <w:b w:val="false"/>
          <w:i w:val="false"/>
          <w:color w:val="000000"/>
          <w:sz w:val="28"/>
        </w:rPr>
        <w:t xml:space="preserve">
      a) have established that the child is adoptable; </w:t>
      </w:r>
      <w:r>
        <w:br/>
      </w:r>
      <w:r>
        <w:rPr>
          <w:rFonts w:ascii="Times New Roman"/>
          <w:b w:val="false"/>
          <w:i w:val="false"/>
          <w:color w:val="000000"/>
          <w:sz w:val="28"/>
        </w:rPr>
        <w:t>
</w:t>
      </w:r>
      <w:r>
        <w:rPr>
          <w:rFonts w:ascii="Times New Roman"/>
          <w:b w:val="false"/>
          <w:i w:val="false"/>
          <w:color w:val="000000"/>
          <w:sz w:val="28"/>
        </w:rPr>
        <w:t xml:space="preserve">
      b) have determined, after possibilities for placement of the child within the State of origin have been given due consideration, that an intercountry adoption is in the child's best interests; </w:t>
      </w:r>
      <w:r>
        <w:br/>
      </w:r>
      <w:r>
        <w:rPr>
          <w:rFonts w:ascii="Times New Roman"/>
          <w:b w:val="false"/>
          <w:i w:val="false"/>
          <w:color w:val="000000"/>
          <w:sz w:val="28"/>
        </w:rPr>
        <w:t>
</w:t>
      </w:r>
      <w:r>
        <w:rPr>
          <w:rFonts w:ascii="Times New Roman"/>
          <w:b w:val="false"/>
          <w:i w:val="false"/>
          <w:color w:val="000000"/>
          <w:sz w:val="28"/>
        </w:rPr>
        <w:t xml:space="preserve">
      c) have ensured that </w:t>
      </w:r>
      <w:r>
        <w:br/>
      </w:r>
      <w:r>
        <w:rPr>
          <w:rFonts w:ascii="Times New Roman"/>
          <w:b w:val="false"/>
          <w:i w:val="false"/>
          <w:color w:val="000000"/>
          <w:sz w:val="28"/>
        </w:rPr>
        <w:t>
</w:t>
      </w:r>
      <w:r>
        <w:rPr>
          <w:rFonts w:ascii="Times New Roman"/>
          <w:b w:val="false"/>
          <w:i w:val="false"/>
          <w:color w:val="000000"/>
          <w:sz w:val="28"/>
        </w:rPr>
        <w:t xml:space="preserve">
      (1) the persons, institutions and authorities whose consent is necessary for adoption, have been counselled as may be necessary and duly informed of the effects of their consent, in particular whether or not an adoption will result in the termination of the legal relationship between the child and his or her family of origin, </w:t>
      </w:r>
      <w:r>
        <w:br/>
      </w:r>
      <w:r>
        <w:rPr>
          <w:rFonts w:ascii="Times New Roman"/>
          <w:b w:val="false"/>
          <w:i w:val="false"/>
          <w:color w:val="000000"/>
          <w:sz w:val="28"/>
        </w:rPr>
        <w:t>
</w:t>
      </w:r>
      <w:r>
        <w:rPr>
          <w:rFonts w:ascii="Times New Roman"/>
          <w:b w:val="false"/>
          <w:i w:val="false"/>
          <w:color w:val="000000"/>
          <w:sz w:val="28"/>
        </w:rPr>
        <w:t xml:space="preserve">
      (2) such persons, institutions and authorities have given their consent freely, in the required legal form, and expressed or evidenced in writing, </w:t>
      </w:r>
      <w:r>
        <w:br/>
      </w:r>
      <w:r>
        <w:rPr>
          <w:rFonts w:ascii="Times New Roman"/>
          <w:b w:val="false"/>
          <w:i w:val="false"/>
          <w:color w:val="000000"/>
          <w:sz w:val="28"/>
        </w:rPr>
        <w:t>
</w:t>
      </w:r>
      <w:r>
        <w:rPr>
          <w:rFonts w:ascii="Times New Roman"/>
          <w:b w:val="false"/>
          <w:i w:val="false"/>
          <w:color w:val="000000"/>
          <w:sz w:val="28"/>
        </w:rPr>
        <w:t xml:space="preserve">
      (3) the consents have not been induced by payment or compensation of any kind and have not been withdrawn, and </w:t>
      </w:r>
      <w:r>
        <w:br/>
      </w:r>
      <w:r>
        <w:rPr>
          <w:rFonts w:ascii="Times New Roman"/>
          <w:b w:val="false"/>
          <w:i w:val="false"/>
          <w:color w:val="000000"/>
          <w:sz w:val="28"/>
        </w:rPr>
        <w:t>
</w:t>
      </w:r>
      <w:r>
        <w:rPr>
          <w:rFonts w:ascii="Times New Roman"/>
          <w:b w:val="false"/>
          <w:i w:val="false"/>
          <w:color w:val="000000"/>
          <w:sz w:val="28"/>
        </w:rPr>
        <w:t xml:space="preserve">
      (4) the consent of the mother, where required, has been given only after the birth of the child; and </w:t>
      </w:r>
      <w:r>
        <w:br/>
      </w:r>
      <w:r>
        <w:rPr>
          <w:rFonts w:ascii="Times New Roman"/>
          <w:b w:val="false"/>
          <w:i w:val="false"/>
          <w:color w:val="000000"/>
          <w:sz w:val="28"/>
        </w:rPr>
        <w:t>
</w:t>
      </w:r>
      <w:r>
        <w:rPr>
          <w:rFonts w:ascii="Times New Roman"/>
          <w:b w:val="false"/>
          <w:i w:val="false"/>
          <w:color w:val="000000"/>
          <w:sz w:val="28"/>
        </w:rPr>
        <w:t xml:space="preserve">
      d) have ensured, having regard to the age and degree of maturity of the child, that </w:t>
      </w:r>
      <w:r>
        <w:br/>
      </w:r>
      <w:r>
        <w:rPr>
          <w:rFonts w:ascii="Times New Roman"/>
          <w:b w:val="false"/>
          <w:i w:val="false"/>
          <w:color w:val="000000"/>
          <w:sz w:val="28"/>
        </w:rPr>
        <w:t>
</w:t>
      </w:r>
      <w:r>
        <w:rPr>
          <w:rFonts w:ascii="Times New Roman"/>
          <w:b w:val="false"/>
          <w:i w:val="false"/>
          <w:color w:val="000000"/>
          <w:sz w:val="28"/>
        </w:rPr>
        <w:t xml:space="preserve">
      (1) he or she has been counselled and duly informed of the effects of the adoption and of his or her consent to the adoption, where such consent is required, </w:t>
      </w:r>
      <w:r>
        <w:br/>
      </w:r>
      <w:r>
        <w:rPr>
          <w:rFonts w:ascii="Times New Roman"/>
          <w:b w:val="false"/>
          <w:i w:val="false"/>
          <w:color w:val="000000"/>
          <w:sz w:val="28"/>
        </w:rPr>
        <w:t>
</w:t>
      </w:r>
      <w:r>
        <w:rPr>
          <w:rFonts w:ascii="Times New Roman"/>
          <w:b w:val="false"/>
          <w:i w:val="false"/>
          <w:color w:val="000000"/>
          <w:sz w:val="28"/>
        </w:rPr>
        <w:t xml:space="preserve">
      (2) consideration has been given to the child's wishes and opinions, </w:t>
      </w:r>
      <w:r>
        <w:br/>
      </w:r>
      <w:r>
        <w:rPr>
          <w:rFonts w:ascii="Times New Roman"/>
          <w:b w:val="false"/>
          <w:i w:val="false"/>
          <w:color w:val="000000"/>
          <w:sz w:val="28"/>
        </w:rPr>
        <w:t>
</w:t>
      </w:r>
      <w:r>
        <w:rPr>
          <w:rFonts w:ascii="Times New Roman"/>
          <w:b w:val="false"/>
          <w:i w:val="false"/>
          <w:color w:val="000000"/>
          <w:sz w:val="28"/>
        </w:rPr>
        <w:t xml:space="preserve">
      (3) the child's consent to the adoption, where such consent is required, has been given freely, in the required legal form, and expressed or evidenced in writing, and </w:t>
      </w:r>
      <w:r>
        <w:br/>
      </w:r>
      <w:r>
        <w:rPr>
          <w:rFonts w:ascii="Times New Roman"/>
          <w:b w:val="false"/>
          <w:i w:val="false"/>
          <w:color w:val="000000"/>
          <w:sz w:val="28"/>
        </w:rPr>
        <w:t>
</w:t>
      </w:r>
      <w:r>
        <w:rPr>
          <w:rFonts w:ascii="Times New Roman"/>
          <w:b w:val="false"/>
          <w:i w:val="false"/>
          <w:color w:val="000000"/>
          <w:sz w:val="28"/>
        </w:rPr>
        <w:t xml:space="preserve">
      (4) such consent has not been induced by payment or compensation of any kind. </w:t>
      </w:r>
    </w:p>
    <w:bookmarkEnd w:id="13"/>
    <w:bookmarkStart w:name="z37" w:id="14"/>
    <w:p>
      <w:pPr>
        <w:spacing w:after="0"/>
        <w:ind w:left="0"/>
        <w:jc w:val="left"/>
      </w:pPr>
      <w:r>
        <w:rPr>
          <w:rFonts w:ascii="Times New Roman"/>
          <w:b/>
          <w:i w:val="false"/>
          <w:color w:val="000000"/>
        </w:rPr>
        <w:t xml:space="preserve"> 
Article 5 </w:t>
      </w:r>
    </w:p>
    <w:bookmarkEnd w:id="14"/>
    <w:bookmarkStart w:name="z38" w:id="15"/>
    <w:p>
      <w:pPr>
        <w:spacing w:after="0"/>
        <w:ind w:left="0"/>
        <w:jc w:val="both"/>
      </w:pPr>
      <w:r>
        <w:rPr>
          <w:rFonts w:ascii="Times New Roman"/>
          <w:b w:val="false"/>
          <w:i w:val="false"/>
          <w:color w:val="000000"/>
          <w:sz w:val="28"/>
        </w:rPr>
        <w:t xml:space="preserve">
      An adoption within the scope of the Convention shall take place only if the competent authorities of the receiving State - </w:t>
      </w:r>
      <w:r>
        <w:br/>
      </w:r>
      <w:r>
        <w:rPr>
          <w:rFonts w:ascii="Times New Roman"/>
          <w:b w:val="false"/>
          <w:i w:val="false"/>
          <w:color w:val="000000"/>
          <w:sz w:val="28"/>
        </w:rPr>
        <w:t>
</w:t>
      </w:r>
      <w:r>
        <w:rPr>
          <w:rFonts w:ascii="Times New Roman"/>
          <w:b w:val="false"/>
          <w:i w:val="false"/>
          <w:color w:val="000000"/>
          <w:sz w:val="28"/>
        </w:rPr>
        <w:t xml:space="preserve">
      a) have determined that the prospective adoptive parents are eligible and suited to adopt; </w:t>
      </w:r>
      <w:r>
        <w:br/>
      </w:r>
      <w:r>
        <w:rPr>
          <w:rFonts w:ascii="Times New Roman"/>
          <w:b w:val="false"/>
          <w:i w:val="false"/>
          <w:color w:val="000000"/>
          <w:sz w:val="28"/>
        </w:rPr>
        <w:t>
</w:t>
      </w:r>
      <w:r>
        <w:rPr>
          <w:rFonts w:ascii="Times New Roman"/>
          <w:b w:val="false"/>
          <w:i w:val="false"/>
          <w:color w:val="000000"/>
          <w:sz w:val="28"/>
        </w:rPr>
        <w:t xml:space="preserve">
      b) have ensured that the prospective adoptive parents have been counselled as may be necessary; and </w:t>
      </w:r>
      <w:r>
        <w:br/>
      </w:r>
      <w:r>
        <w:rPr>
          <w:rFonts w:ascii="Times New Roman"/>
          <w:b w:val="false"/>
          <w:i w:val="false"/>
          <w:color w:val="000000"/>
          <w:sz w:val="28"/>
        </w:rPr>
        <w:t>
</w:t>
      </w:r>
      <w:r>
        <w:rPr>
          <w:rFonts w:ascii="Times New Roman"/>
          <w:b w:val="false"/>
          <w:i w:val="false"/>
          <w:color w:val="000000"/>
          <w:sz w:val="28"/>
        </w:rPr>
        <w:t xml:space="preserve">
      c) have determined that the child is or will be authorised to enter and reside permanently in that State. </w:t>
      </w:r>
    </w:p>
    <w:bookmarkEnd w:id="15"/>
    <w:bookmarkStart w:name="z42" w:id="16"/>
    <w:p>
      <w:pPr>
        <w:spacing w:after="0"/>
        <w:ind w:left="0"/>
        <w:jc w:val="left"/>
      </w:pPr>
      <w:r>
        <w:rPr>
          <w:rFonts w:ascii="Times New Roman"/>
          <w:b/>
          <w:i w:val="false"/>
          <w:color w:val="000000"/>
        </w:rPr>
        <w:t xml:space="preserve"> 
chapter iii - central authorities and accredited bodies </w:t>
      </w:r>
    </w:p>
    <w:bookmarkEnd w:id="16"/>
    <w:bookmarkStart w:name="z43" w:id="17"/>
    <w:p>
      <w:pPr>
        <w:spacing w:after="0"/>
        <w:ind w:left="0"/>
        <w:jc w:val="left"/>
      </w:pPr>
      <w:r>
        <w:rPr>
          <w:rFonts w:ascii="Times New Roman"/>
          <w:b/>
          <w:i w:val="false"/>
          <w:color w:val="000000"/>
        </w:rPr>
        <w:t xml:space="preserve"> 
Article 6 </w:t>
      </w:r>
    </w:p>
    <w:bookmarkEnd w:id="17"/>
    <w:bookmarkStart w:name="z44" w:id="18"/>
    <w:p>
      <w:pPr>
        <w:spacing w:after="0"/>
        <w:ind w:left="0"/>
        <w:jc w:val="both"/>
      </w:pPr>
      <w:r>
        <w:rPr>
          <w:rFonts w:ascii="Times New Roman"/>
          <w:b w:val="false"/>
          <w:i w:val="false"/>
          <w:color w:val="000000"/>
          <w:sz w:val="28"/>
        </w:rPr>
        <w:t xml:space="preserve">
      (1) A Contracting State shall designate a Central Authority to discharge the duties which are imposed by the Convention upon such authorities. </w:t>
      </w:r>
      <w:r>
        <w:br/>
      </w:r>
      <w:r>
        <w:rPr>
          <w:rFonts w:ascii="Times New Roman"/>
          <w:b w:val="false"/>
          <w:i w:val="false"/>
          <w:color w:val="000000"/>
          <w:sz w:val="28"/>
        </w:rPr>
        <w:t>
</w:t>
      </w:r>
      <w:r>
        <w:rPr>
          <w:rFonts w:ascii="Times New Roman"/>
          <w:b w:val="false"/>
          <w:i w:val="false"/>
          <w:color w:val="000000"/>
          <w:sz w:val="28"/>
        </w:rPr>
        <w:t xml:space="preserve">
      (2) Federal States, States with more than one system of law or States having autonomous territorial units shall be free to appoint more than one Central Authority and to specify the territorial or personal extent of their functions. Where a State has appointed more than one Central Authority, it shall designate the Central Authority to which any communication may be addressed for transmission to the appropriate Central Authority within that State. </w:t>
      </w:r>
    </w:p>
    <w:bookmarkEnd w:id="18"/>
    <w:bookmarkStart w:name="z46" w:id="19"/>
    <w:p>
      <w:pPr>
        <w:spacing w:after="0"/>
        <w:ind w:left="0"/>
        <w:jc w:val="left"/>
      </w:pPr>
      <w:r>
        <w:rPr>
          <w:rFonts w:ascii="Times New Roman"/>
          <w:b/>
          <w:i w:val="false"/>
          <w:color w:val="000000"/>
        </w:rPr>
        <w:t xml:space="preserve"> 
Article 7 </w:t>
      </w:r>
    </w:p>
    <w:bookmarkEnd w:id="19"/>
    <w:bookmarkStart w:name="z47" w:id="20"/>
    <w:p>
      <w:pPr>
        <w:spacing w:after="0"/>
        <w:ind w:left="0"/>
        <w:jc w:val="both"/>
      </w:pPr>
      <w:r>
        <w:rPr>
          <w:rFonts w:ascii="Times New Roman"/>
          <w:b w:val="false"/>
          <w:i w:val="false"/>
          <w:color w:val="000000"/>
          <w:sz w:val="28"/>
        </w:rPr>
        <w:t xml:space="preserve">
      (1) Central Authorities shall co-operate with each other and promote co-operation amongst the competent authorities in their States to protect children and to achieve the other objects of the Convention. </w:t>
      </w:r>
      <w:r>
        <w:br/>
      </w:r>
      <w:r>
        <w:rPr>
          <w:rFonts w:ascii="Times New Roman"/>
          <w:b w:val="false"/>
          <w:i w:val="false"/>
          <w:color w:val="000000"/>
          <w:sz w:val="28"/>
        </w:rPr>
        <w:t>
</w:t>
      </w:r>
      <w:r>
        <w:rPr>
          <w:rFonts w:ascii="Times New Roman"/>
          <w:b w:val="false"/>
          <w:i w:val="false"/>
          <w:color w:val="000000"/>
          <w:sz w:val="28"/>
        </w:rPr>
        <w:t xml:space="preserve">
      (2) They shall take directly all appropriate measures to - </w:t>
      </w:r>
      <w:r>
        <w:br/>
      </w:r>
      <w:r>
        <w:rPr>
          <w:rFonts w:ascii="Times New Roman"/>
          <w:b w:val="false"/>
          <w:i w:val="false"/>
          <w:color w:val="000000"/>
          <w:sz w:val="28"/>
        </w:rPr>
        <w:t>
</w:t>
      </w:r>
      <w:r>
        <w:rPr>
          <w:rFonts w:ascii="Times New Roman"/>
          <w:b w:val="false"/>
          <w:i w:val="false"/>
          <w:color w:val="000000"/>
          <w:sz w:val="28"/>
        </w:rPr>
        <w:t xml:space="preserve">
      a) provide information as to the laws of their States concerning adoption and other general information, such as statistics and standard forms; </w:t>
      </w:r>
      <w:r>
        <w:br/>
      </w:r>
      <w:r>
        <w:rPr>
          <w:rFonts w:ascii="Times New Roman"/>
          <w:b w:val="false"/>
          <w:i w:val="false"/>
          <w:color w:val="000000"/>
          <w:sz w:val="28"/>
        </w:rPr>
        <w:t>
</w:t>
      </w:r>
      <w:r>
        <w:rPr>
          <w:rFonts w:ascii="Times New Roman"/>
          <w:b w:val="false"/>
          <w:i w:val="false"/>
          <w:color w:val="000000"/>
          <w:sz w:val="28"/>
        </w:rPr>
        <w:t xml:space="preserve">
      b) keep one another informed about the operation of the Convention and, as far as possible, eliminate any obstacles to its application. </w:t>
      </w:r>
    </w:p>
    <w:bookmarkEnd w:id="20"/>
    <w:bookmarkStart w:name="z51" w:id="21"/>
    <w:p>
      <w:pPr>
        <w:spacing w:after="0"/>
        <w:ind w:left="0"/>
        <w:jc w:val="left"/>
      </w:pPr>
      <w:r>
        <w:rPr>
          <w:rFonts w:ascii="Times New Roman"/>
          <w:b/>
          <w:i w:val="false"/>
          <w:color w:val="000000"/>
        </w:rPr>
        <w:t xml:space="preserve"> 
Article 8 </w:t>
      </w:r>
    </w:p>
    <w:bookmarkEnd w:id="21"/>
    <w:bookmarkStart w:name="z52" w:id="22"/>
    <w:p>
      <w:pPr>
        <w:spacing w:after="0"/>
        <w:ind w:left="0"/>
        <w:jc w:val="both"/>
      </w:pPr>
      <w:r>
        <w:rPr>
          <w:rFonts w:ascii="Times New Roman"/>
          <w:b w:val="false"/>
          <w:i w:val="false"/>
          <w:color w:val="000000"/>
          <w:sz w:val="28"/>
        </w:rPr>
        <w:t xml:space="preserve">
      Central Authorities shall take, directly or through public authorities, all appropriate measures to prevent improper financial or other gain in connection with an adoption and to deter all practices contrary to the objects of the Convention. </w:t>
      </w:r>
    </w:p>
    <w:bookmarkEnd w:id="22"/>
    <w:bookmarkStart w:name="z53" w:id="23"/>
    <w:p>
      <w:pPr>
        <w:spacing w:after="0"/>
        <w:ind w:left="0"/>
        <w:jc w:val="left"/>
      </w:pPr>
      <w:r>
        <w:rPr>
          <w:rFonts w:ascii="Times New Roman"/>
          <w:b/>
          <w:i w:val="false"/>
          <w:color w:val="000000"/>
        </w:rPr>
        <w:t xml:space="preserve"> 
Article 9 </w:t>
      </w:r>
    </w:p>
    <w:bookmarkEnd w:id="23"/>
    <w:bookmarkStart w:name="z54" w:id="24"/>
    <w:p>
      <w:pPr>
        <w:spacing w:after="0"/>
        <w:ind w:left="0"/>
        <w:jc w:val="both"/>
      </w:pPr>
      <w:r>
        <w:rPr>
          <w:rFonts w:ascii="Times New Roman"/>
          <w:b w:val="false"/>
          <w:i w:val="false"/>
          <w:color w:val="000000"/>
          <w:sz w:val="28"/>
        </w:rPr>
        <w:t xml:space="preserve">
      Central Authorities shall take, directly or through public authorities or other bodies duly accredited in their State, all appropriate measures, in particular to - </w:t>
      </w:r>
      <w:r>
        <w:br/>
      </w:r>
      <w:r>
        <w:rPr>
          <w:rFonts w:ascii="Times New Roman"/>
          <w:b w:val="false"/>
          <w:i w:val="false"/>
          <w:color w:val="000000"/>
          <w:sz w:val="28"/>
        </w:rPr>
        <w:t>
</w:t>
      </w:r>
      <w:r>
        <w:rPr>
          <w:rFonts w:ascii="Times New Roman"/>
          <w:b w:val="false"/>
          <w:i w:val="false"/>
          <w:color w:val="000000"/>
          <w:sz w:val="28"/>
        </w:rPr>
        <w:t xml:space="preserve">
      a) collect, preserve and exchange information about the situation of the child and the prospective adoptive parents, so far as is necessary to complete the adoption; </w:t>
      </w:r>
      <w:r>
        <w:br/>
      </w:r>
      <w:r>
        <w:rPr>
          <w:rFonts w:ascii="Times New Roman"/>
          <w:b w:val="false"/>
          <w:i w:val="false"/>
          <w:color w:val="000000"/>
          <w:sz w:val="28"/>
        </w:rPr>
        <w:t>
</w:t>
      </w:r>
      <w:r>
        <w:rPr>
          <w:rFonts w:ascii="Times New Roman"/>
          <w:b w:val="false"/>
          <w:i w:val="false"/>
          <w:color w:val="000000"/>
          <w:sz w:val="28"/>
        </w:rPr>
        <w:t xml:space="preserve">
      b) facilitate, follow and expedite proceedings with a view to obtaining the adoption; </w:t>
      </w:r>
      <w:r>
        <w:br/>
      </w:r>
      <w:r>
        <w:rPr>
          <w:rFonts w:ascii="Times New Roman"/>
          <w:b w:val="false"/>
          <w:i w:val="false"/>
          <w:color w:val="000000"/>
          <w:sz w:val="28"/>
        </w:rPr>
        <w:t>
</w:t>
      </w:r>
      <w:r>
        <w:rPr>
          <w:rFonts w:ascii="Times New Roman"/>
          <w:b w:val="false"/>
          <w:i w:val="false"/>
          <w:color w:val="000000"/>
          <w:sz w:val="28"/>
        </w:rPr>
        <w:t xml:space="preserve">
      c) promote the development of adoption counselling and post-adoption services in their States; </w:t>
      </w:r>
      <w:r>
        <w:br/>
      </w:r>
      <w:r>
        <w:rPr>
          <w:rFonts w:ascii="Times New Roman"/>
          <w:b w:val="false"/>
          <w:i w:val="false"/>
          <w:color w:val="000000"/>
          <w:sz w:val="28"/>
        </w:rPr>
        <w:t>
</w:t>
      </w:r>
      <w:r>
        <w:rPr>
          <w:rFonts w:ascii="Times New Roman"/>
          <w:b w:val="false"/>
          <w:i w:val="false"/>
          <w:color w:val="000000"/>
          <w:sz w:val="28"/>
        </w:rPr>
        <w:t xml:space="preserve">
      d) provide each other with general evaluation reports about experience with intercountry adoption; </w:t>
      </w:r>
      <w:r>
        <w:br/>
      </w:r>
      <w:r>
        <w:rPr>
          <w:rFonts w:ascii="Times New Roman"/>
          <w:b w:val="false"/>
          <w:i w:val="false"/>
          <w:color w:val="000000"/>
          <w:sz w:val="28"/>
        </w:rPr>
        <w:t>
</w:t>
      </w:r>
      <w:r>
        <w:rPr>
          <w:rFonts w:ascii="Times New Roman"/>
          <w:b w:val="false"/>
          <w:i w:val="false"/>
          <w:color w:val="000000"/>
          <w:sz w:val="28"/>
        </w:rPr>
        <w:t xml:space="preserve">
      e) reply, in so far as is permitted by the law of their State, to justified requests from other Central Authorities or public authorities for information about a particular adoption situation. </w:t>
      </w:r>
    </w:p>
    <w:bookmarkEnd w:id="24"/>
    <w:bookmarkStart w:name="z60" w:id="25"/>
    <w:p>
      <w:pPr>
        <w:spacing w:after="0"/>
        <w:ind w:left="0"/>
        <w:jc w:val="left"/>
      </w:pPr>
      <w:r>
        <w:rPr>
          <w:rFonts w:ascii="Times New Roman"/>
          <w:b/>
          <w:i w:val="false"/>
          <w:color w:val="000000"/>
        </w:rPr>
        <w:t xml:space="preserve"> 
Article 10 </w:t>
      </w:r>
    </w:p>
    <w:bookmarkEnd w:id="25"/>
    <w:bookmarkStart w:name="z61" w:id="26"/>
    <w:p>
      <w:pPr>
        <w:spacing w:after="0"/>
        <w:ind w:left="0"/>
        <w:jc w:val="both"/>
      </w:pPr>
      <w:r>
        <w:rPr>
          <w:rFonts w:ascii="Times New Roman"/>
          <w:b w:val="false"/>
          <w:i w:val="false"/>
          <w:color w:val="000000"/>
          <w:sz w:val="28"/>
        </w:rPr>
        <w:t xml:space="preserve">
      Accreditation shall only be granted to and maintained by bodies demonstrating their competence to carry out properly the tasks with which they may be entrusted. </w:t>
      </w:r>
    </w:p>
    <w:bookmarkEnd w:id="26"/>
    <w:bookmarkStart w:name="z62" w:id="27"/>
    <w:p>
      <w:pPr>
        <w:spacing w:after="0"/>
        <w:ind w:left="0"/>
        <w:jc w:val="left"/>
      </w:pPr>
      <w:r>
        <w:rPr>
          <w:rFonts w:ascii="Times New Roman"/>
          <w:b/>
          <w:i w:val="false"/>
          <w:color w:val="000000"/>
        </w:rPr>
        <w:t xml:space="preserve"> 
Article 11 </w:t>
      </w:r>
    </w:p>
    <w:bookmarkEnd w:id="27"/>
    <w:bookmarkStart w:name="z63" w:id="28"/>
    <w:p>
      <w:pPr>
        <w:spacing w:after="0"/>
        <w:ind w:left="0"/>
        <w:jc w:val="both"/>
      </w:pPr>
      <w:r>
        <w:rPr>
          <w:rFonts w:ascii="Times New Roman"/>
          <w:b w:val="false"/>
          <w:i w:val="false"/>
          <w:color w:val="000000"/>
          <w:sz w:val="28"/>
        </w:rPr>
        <w:t xml:space="preserve">
      An accredited body shall - </w:t>
      </w:r>
      <w:r>
        <w:br/>
      </w:r>
      <w:r>
        <w:rPr>
          <w:rFonts w:ascii="Times New Roman"/>
          <w:b w:val="false"/>
          <w:i w:val="false"/>
          <w:color w:val="000000"/>
          <w:sz w:val="28"/>
        </w:rPr>
        <w:t>
</w:t>
      </w:r>
      <w:r>
        <w:rPr>
          <w:rFonts w:ascii="Times New Roman"/>
          <w:b w:val="false"/>
          <w:i w:val="false"/>
          <w:color w:val="000000"/>
          <w:sz w:val="28"/>
        </w:rPr>
        <w:t xml:space="preserve">
      a) pursue only non-profit objectives according to such conditions and within such limits as may be established by the competent authorities of the State of accreditation; </w:t>
      </w:r>
      <w:r>
        <w:br/>
      </w:r>
      <w:r>
        <w:rPr>
          <w:rFonts w:ascii="Times New Roman"/>
          <w:b w:val="false"/>
          <w:i w:val="false"/>
          <w:color w:val="000000"/>
          <w:sz w:val="28"/>
        </w:rPr>
        <w:t>
</w:t>
      </w:r>
      <w:r>
        <w:rPr>
          <w:rFonts w:ascii="Times New Roman"/>
          <w:b w:val="false"/>
          <w:i w:val="false"/>
          <w:color w:val="000000"/>
          <w:sz w:val="28"/>
        </w:rPr>
        <w:t xml:space="preserve">
      b) be directed and staffed by persons qualified by their ethical standards and by training or experience to work in the field of intercountry adoption; and </w:t>
      </w:r>
      <w:r>
        <w:br/>
      </w:r>
      <w:r>
        <w:rPr>
          <w:rFonts w:ascii="Times New Roman"/>
          <w:b w:val="false"/>
          <w:i w:val="false"/>
          <w:color w:val="000000"/>
          <w:sz w:val="28"/>
        </w:rPr>
        <w:t>
</w:t>
      </w:r>
      <w:r>
        <w:rPr>
          <w:rFonts w:ascii="Times New Roman"/>
          <w:b w:val="false"/>
          <w:i w:val="false"/>
          <w:color w:val="000000"/>
          <w:sz w:val="28"/>
        </w:rPr>
        <w:t xml:space="preserve">
      c) be subject to supervision by competent authorities of that State as to its composition, operation and financial situation. </w:t>
      </w:r>
    </w:p>
    <w:bookmarkEnd w:id="28"/>
    <w:bookmarkStart w:name="z67" w:id="29"/>
    <w:p>
      <w:pPr>
        <w:spacing w:after="0"/>
        <w:ind w:left="0"/>
        <w:jc w:val="left"/>
      </w:pPr>
      <w:r>
        <w:rPr>
          <w:rFonts w:ascii="Times New Roman"/>
          <w:b/>
          <w:i w:val="false"/>
          <w:color w:val="000000"/>
        </w:rPr>
        <w:t xml:space="preserve"> 
Article 12 </w:t>
      </w:r>
    </w:p>
    <w:bookmarkEnd w:id="29"/>
    <w:bookmarkStart w:name="z68" w:id="30"/>
    <w:p>
      <w:pPr>
        <w:spacing w:after="0"/>
        <w:ind w:left="0"/>
        <w:jc w:val="both"/>
      </w:pPr>
      <w:r>
        <w:rPr>
          <w:rFonts w:ascii="Times New Roman"/>
          <w:b w:val="false"/>
          <w:i w:val="false"/>
          <w:color w:val="000000"/>
          <w:sz w:val="28"/>
        </w:rPr>
        <w:t xml:space="preserve">
      A body accredited in one Contracting State may act in another Contracting State only if the competent authorities of both States have authorised it to do so. </w:t>
      </w:r>
    </w:p>
    <w:bookmarkEnd w:id="30"/>
    <w:p>
      <w:pPr>
        <w:spacing w:after="0"/>
        <w:ind w:left="0"/>
        <w:jc w:val="left"/>
      </w:pPr>
      <w:r>
        <w:rPr>
          <w:rFonts w:ascii="Times New Roman"/>
          <w:b/>
          <w:i w:val="false"/>
          <w:color w:val="000000"/>
        </w:rPr>
        <w:t xml:space="preserve"> Article 13 </w:t>
      </w:r>
    </w:p>
    <w:bookmarkStart w:name="z70" w:id="31"/>
    <w:p>
      <w:pPr>
        <w:spacing w:after="0"/>
        <w:ind w:left="0"/>
        <w:jc w:val="both"/>
      </w:pPr>
      <w:r>
        <w:rPr>
          <w:rFonts w:ascii="Times New Roman"/>
          <w:b w:val="false"/>
          <w:i w:val="false"/>
          <w:color w:val="000000"/>
          <w:sz w:val="28"/>
        </w:rPr>
        <w:t xml:space="preserve">
      The designation of the Central Authorities and, where appropriate, the extent of their functions, as well as the names and addresses of the accredited bodies shall be communicated by each Contracting State to the Permanent Bureau of the Hague Conference on Private International Law. </w:t>
      </w:r>
    </w:p>
    <w:bookmarkEnd w:id="31"/>
    <w:bookmarkStart w:name="z69" w:id="32"/>
    <w:p>
      <w:pPr>
        <w:spacing w:after="0"/>
        <w:ind w:left="0"/>
        <w:jc w:val="left"/>
      </w:pPr>
      <w:r>
        <w:rPr>
          <w:rFonts w:ascii="Times New Roman"/>
          <w:b/>
          <w:i w:val="false"/>
          <w:color w:val="000000"/>
        </w:rPr>
        <w:t xml:space="preserve"> 
chapter iv - procedural requirements in intercountry adoption </w:t>
      </w:r>
    </w:p>
    <w:bookmarkEnd w:id="32"/>
    <w:bookmarkStart w:name="z71" w:id="33"/>
    <w:p>
      <w:pPr>
        <w:spacing w:after="0"/>
        <w:ind w:left="0"/>
        <w:jc w:val="left"/>
      </w:pPr>
      <w:r>
        <w:rPr>
          <w:rFonts w:ascii="Times New Roman"/>
          <w:b/>
          <w:i w:val="false"/>
          <w:color w:val="000000"/>
        </w:rPr>
        <w:t xml:space="preserve"> 
Article 14 </w:t>
      </w:r>
    </w:p>
    <w:bookmarkEnd w:id="33"/>
    <w:bookmarkStart w:name="z72" w:id="34"/>
    <w:p>
      <w:pPr>
        <w:spacing w:after="0"/>
        <w:ind w:left="0"/>
        <w:jc w:val="both"/>
      </w:pPr>
      <w:r>
        <w:rPr>
          <w:rFonts w:ascii="Times New Roman"/>
          <w:b w:val="false"/>
          <w:i w:val="false"/>
          <w:color w:val="000000"/>
          <w:sz w:val="28"/>
        </w:rPr>
        <w:t xml:space="preserve">
      Persons habitually resident in a Contracting State, who wish to adopt a child habitually resident in another Contracting State, shall apply to the Central Authority in the State of their habitual residence. </w:t>
      </w:r>
    </w:p>
    <w:bookmarkEnd w:id="34"/>
    <w:bookmarkStart w:name="z73" w:id="35"/>
    <w:p>
      <w:pPr>
        <w:spacing w:after="0"/>
        <w:ind w:left="0"/>
        <w:jc w:val="left"/>
      </w:pPr>
      <w:r>
        <w:rPr>
          <w:rFonts w:ascii="Times New Roman"/>
          <w:b/>
          <w:i w:val="false"/>
          <w:color w:val="000000"/>
        </w:rPr>
        <w:t xml:space="preserve"> 
Article 15 </w:t>
      </w:r>
    </w:p>
    <w:bookmarkEnd w:id="35"/>
    <w:bookmarkStart w:name="z74" w:id="36"/>
    <w:p>
      <w:pPr>
        <w:spacing w:after="0"/>
        <w:ind w:left="0"/>
        <w:jc w:val="both"/>
      </w:pPr>
      <w:r>
        <w:rPr>
          <w:rFonts w:ascii="Times New Roman"/>
          <w:b w:val="false"/>
          <w:i w:val="false"/>
          <w:color w:val="000000"/>
          <w:sz w:val="28"/>
        </w:rPr>
        <w:t xml:space="preserve">
      (1) If the Central Authority of the receiving State is satisfied that the applicants are eligible and suited to adopt, it shall prepare a report including information about their identity, eligibility and suitability to adopt, background, family and medical history, social environment, reasons for adoption, ability to undertake an intercountry adoption, as well as the characteristics of the children for whom they would be qualified to care. </w:t>
      </w:r>
      <w:r>
        <w:br/>
      </w:r>
      <w:r>
        <w:rPr>
          <w:rFonts w:ascii="Times New Roman"/>
          <w:b w:val="false"/>
          <w:i w:val="false"/>
          <w:color w:val="000000"/>
          <w:sz w:val="28"/>
        </w:rPr>
        <w:t>
</w:t>
      </w:r>
      <w:r>
        <w:rPr>
          <w:rFonts w:ascii="Times New Roman"/>
          <w:b w:val="false"/>
          <w:i w:val="false"/>
          <w:color w:val="000000"/>
          <w:sz w:val="28"/>
        </w:rPr>
        <w:t xml:space="preserve">
      (2) It shall transmit the report to the Central Authority of the State of origin. </w:t>
      </w:r>
    </w:p>
    <w:bookmarkEnd w:id="36"/>
    <w:bookmarkStart w:name="z76" w:id="37"/>
    <w:p>
      <w:pPr>
        <w:spacing w:after="0"/>
        <w:ind w:left="0"/>
        <w:jc w:val="left"/>
      </w:pPr>
      <w:r>
        <w:rPr>
          <w:rFonts w:ascii="Times New Roman"/>
          <w:b/>
          <w:i w:val="false"/>
          <w:color w:val="000000"/>
        </w:rPr>
        <w:t xml:space="preserve"> 
Article 16 </w:t>
      </w:r>
    </w:p>
    <w:bookmarkEnd w:id="37"/>
    <w:bookmarkStart w:name="z77" w:id="38"/>
    <w:p>
      <w:pPr>
        <w:spacing w:after="0"/>
        <w:ind w:left="0"/>
        <w:jc w:val="both"/>
      </w:pPr>
      <w:r>
        <w:rPr>
          <w:rFonts w:ascii="Times New Roman"/>
          <w:b w:val="false"/>
          <w:i w:val="false"/>
          <w:color w:val="000000"/>
          <w:sz w:val="28"/>
        </w:rPr>
        <w:t xml:space="preserve">
      (1) If the Central Authority of the State of origin is satisfied that the child is adoptable, it shall - </w:t>
      </w:r>
      <w:r>
        <w:br/>
      </w:r>
      <w:r>
        <w:rPr>
          <w:rFonts w:ascii="Times New Roman"/>
          <w:b w:val="false"/>
          <w:i w:val="false"/>
          <w:color w:val="000000"/>
          <w:sz w:val="28"/>
        </w:rPr>
        <w:t>
</w:t>
      </w:r>
      <w:r>
        <w:rPr>
          <w:rFonts w:ascii="Times New Roman"/>
          <w:b w:val="false"/>
          <w:i w:val="false"/>
          <w:color w:val="000000"/>
          <w:sz w:val="28"/>
        </w:rPr>
        <w:t xml:space="preserve">
      a) prepare a report including information about his or her identity, adoptability, background, social environment, family history, medical history including that of the child's family, and any special needs of the child; </w:t>
      </w:r>
      <w:r>
        <w:br/>
      </w:r>
      <w:r>
        <w:rPr>
          <w:rFonts w:ascii="Times New Roman"/>
          <w:b w:val="false"/>
          <w:i w:val="false"/>
          <w:color w:val="000000"/>
          <w:sz w:val="28"/>
        </w:rPr>
        <w:t>
</w:t>
      </w:r>
      <w:r>
        <w:rPr>
          <w:rFonts w:ascii="Times New Roman"/>
          <w:b w:val="false"/>
          <w:i w:val="false"/>
          <w:color w:val="000000"/>
          <w:sz w:val="28"/>
        </w:rPr>
        <w:t xml:space="preserve">
      b) give due consideration to the child's upbringing and to his or her ethnic, religious and cultural background; </w:t>
      </w:r>
      <w:r>
        <w:br/>
      </w:r>
      <w:r>
        <w:rPr>
          <w:rFonts w:ascii="Times New Roman"/>
          <w:b w:val="false"/>
          <w:i w:val="false"/>
          <w:color w:val="000000"/>
          <w:sz w:val="28"/>
        </w:rPr>
        <w:t>
</w:t>
      </w:r>
      <w:r>
        <w:rPr>
          <w:rFonts w:ascii="Times New Roman"/>
          <w:b w:val="false"/>
          <w:i w:val="false"/>
          <w:color w:val="000000"/>
          <w:sz w:val="28"/>
        </w:rPr>
        <w:t>
      c) ensure that consents have been obtained in accordance with </w:t>
      </w:r>
      <w:r>
        <w:rPr>
          <w:rFonts w:ascii="Times New Roman"/>
          <w:b w:val="false"/>
          <w:i w:val="false"/>
          <w:color w:val="000000"/>
          <w:sz w:val="28"/>
        </w:rPr>
        <w:t>Article 4</w:t>
      </w:r>
      <w:r>
        <w:rPr>
          <w:rFonts w:ascii="Times New Roman"/>
          <w:b w:val="false"/>
          <w:i w:val="false"/>
          <w:color w:val="000000"/>
          <w:sz w:val="28"/>
        </w:rPr>
        <w:t xml:space="preserve">; and </w:t>
      </w:r>
      <w:r>
        <w:br/>
      </w:r>
      <w:r>
        <w:rPr>
          <w:rFonts w:ascii="Times New Roman"/>
          <w:b w:val="false"/>
          <w:i w:val="false"/>
          <w:color w:val="000000"/>
          <w:sz w:val="28"/>
        </w:rPr>
        <w:t>
</w:t>
      </w:r>
      <w:r>
        <w:rPr>
          <w:rFonts w:ascii="Times New Roman"/>
          <w:b w:val="false"/>
          <w:i w:val="false"/>
          <w:color w:val="000000"/>
          <w:sz w:val="28"/>
        </w:rPr>
        <w:t xml:space="preserve">
      d) determine, on the basis in particular of the reports relating to the child and the prospective adoptive parents, whether the envisaged placement is in the best interests of the child. </w:t>
      </w:r>
      <w:r>
        <w:br/>
      </w:r>
      <w:r>
        <w:rPr>
          <w:rFonts w:ascii="Times New Roman"/>
          <w:b w:val="false"/>
          <w:i w:val="false"/>
          <w:color w:val="000000"/>
          <w:sz w:val="28"/>
        </w:rPr>
        <w:t>
</w:t>
      </w:r>
      <w:r>
        <w:rPr>
          <w:rFonts w:ascii="Times New Roman"/>
          <w:b w:val="false"/>
          <w:i w:val="false"/>
          <w:color w:val="000000"/>
          <w:sz w:val="28"/>
        </w:rPr>
        <w:t xml:space="preserve">
      (2) It shall transmit to the Central Authority of the receiving State its report on the child, proof that the necessary consents have been obtained and the reasons for its determination on the placement, taking care not to reveal the identity of the mother and the father if, in the State of origin, these identities may not be disclosed. </w:t>
      </w:r>
    </w:p>
    <w:bookmarkEnd w:id="38"/>
    <w:bookmarkStart w:name="z83" w:id="39"/>
    <w:p>
      <w:pPr>
        <w:spacing w:after="0"/>
        <w:ind w:left="0"/>
        <w:jc w:val="left"/>
      </w:pPr>
      <w:r>
        <w:rPr>
          <w:rFonts w:ascii="Times New Roman"/>
          <w:b/>
          <w:i w:val="false"/>
          <w:color w:val="000000"/>
        </w:rPr>
        <w:t xml:space="preserve"> 
Article 17 </w:t>
      </w:r>
    </w:p>
    <w:bookmarkEnd w:id="39"/>
    <w:bookmarkStart w:name="z84" w:id="40"/>
    <w:p>
      <w:pPr>
        <w:spacing w:after="0"/>
        <w:ind w:left="0"/>
        <w:jc w:val="both"/>
      </w:pPr>
      <w:r>
        <w:rPr>
          <w:rFonts w:ascii="Times New Roman"/>
          <w:b w:val="false"/>
          <w:i w:val="false"/>
          <w:color w:val="000000"/>
          <w:sz w:val="28"/>
        </w:rPr>
        <w:t xml:space="preserve">
      Any decision in the State of origin that a child should be entrusted to prospective adoptive parents may only be made if - </w:t>
      </w:r>
      <w:r>
        <w:br/>
      </w:r>
      <w:r>
        <w:rPr>
          <w:rFonts w:ascii="Times New Roman"/>
          <w:b w:val="false"/>
          <w:i w:val="false"/>
          <w:color w:val="000000"/>
          <w:sz w:val="28"/>
        </w:rPr>
        <w:t>
</w:t>
      </w:r>
      <w:r>
        <w:rPr>
          <w:rFonts w:ascii="Times New Roman"/>
          <w:b w:val="false"/>
          <w:i w:val="false"/>
          <w:color w:val="000000"/>
          <w:sz w:val="28"/>
        </w:rPr>
        <w:t xml:space="preserve">
      a) the Central Authority of that State has ensured that the prospective adoptive parents agree; </w:t>
      </w:r>
      <w:r>
        <w:br/>
      </w:r>
      <w:r>
        <w:rPr>
          <w:rFonts w:ascii="Times New Roman"/>
          <w:b w:val="false"/>
          <w:i w:val="false"/>
          <w:color w:val="000000"/>
          <w:sz w:val="28"/>
        </w:rPr>
        <w:t>
</w:t>
      </w:r>
      <w:r>
        <w:rPr>
          <w:rFonts w:ascii="Times New Roman"/>
          <w:b w:val="false"/>
          <w:i w:val="false"/>
          <w:color w:val="000000"/>
          <w:sz w:val="28"/>
        </w:rPr>
        <w:t xml:space="preserve">
      b) the Central Authority of the receiving State has approved such decision, where such approval is required by the law of that State or by the Central Authority of the State of origin; </w:t>
      </w:r>
      <w:r>
        <w:br/>
      </w:r>
      <w:r>
        <w:rPr>
          <w:rFonts w:ascii="Times New Roman"/>
          <w:b w:val="false"/>
          <w:i w:val="false"/>
          <w:color w:val="000000"/>
          <w:sz w:val="28"/>
        </w:rPr>
        <w:t>
</w:t>
      </w:r>
      <w:r>
        <w:rPr>
          <w:rFonts w:ascii="Times New Roman"/>
          <w:b w:val="false"/>
          <w:i w:val="false"/>
          <w:color w:val="000000"/>
          <w:sz w:val="28"/>
        </w:rPr>
        <w:t xml:space="preserve">
      c) the Central Authorities of both States have agreed that the adoption may proceed; and </w:t>
      </w:r>
      <w:r>
        <w:br/>
      </w:r>
      <w:r>
        <w:rPr>
          <w:rFonts w:ascii="Times New Roman"/>
          <w:b w:val="false"/>
          <w:i w:val="false"/>
          <w:color w:val="000000"/>
          <w:sz w:val="28"/>
        </w:rPr>
        <w:t>
</w:t>
      </w:r>
      <w:r>
        <w:rPr>
          <w:rFonts w:ascii="Times New Roman"/>
          <w:b w:val="false"/>
          <w:i w:val="false"/>
          <w:color w:val="000000"/>
          <w:sz w:val="28"/>
        </w:rPr>
        <w:t>
      d) it has been determined, in accordance with </w:t>
      </w:r>
      <w:r>
        <w:rPr>
          <w:rFonts w:ascii="Times New Roman"/>
          <w:b w:val="false"/>
          <w:i w:val="false"/>
          <w:color w:val="000000"/>
          <w:sz w:val="28"/>
        </w:rPr>
        <w:t>Article 5</w:t>
      </w:r>
      <w:r>
        <w:rPr>
          <w:rFonts w:ascii="Times New Roman"/>
          <w:b w:val="false"/>
          <w:i w:val="false"/>
          <w:color w:val="000000"/>
          <w:sz w:val="28"/>
        </w:rPr>
        <w:t xml:space="preserve">, that the prospective adoptive parents are eligible and suited to adopt and that the child is or will be authorised to enter and reside permanently in the receiving State. </w:t>
      </w:r>
    </w:p>
    <w:bookmarkEnd w:id="40"/>
    <w:bookmarkStart w:name="z89" w:id="41"/>
    <w:p>
      <w:pPr>
        <w:spacing w:after="0"/>
        <w:ind w:left="0"/>
        <w:jc w:val="left"/>
      </w:pPr>
      <w:r>
        <w:rPr>
          <w:rFonts w:ascii="Times New Roman"/>
          <w:b/>
          <w:i w:val="false"/>
          <w:color w:val="000000"/>
        </w:rPr>
        <w:t xml:space="preserve"> 
Article 18 </w:t>
      </w:r>
    </w:p>
    <w:bookmarkEnd w:id="41"/>
    <w:bookmarkStart w:name="z90" w:id="42"/>
    <w:p>
      <w:pPr>
        <w:spacing w:after="0"/>
        <w:ind w:left="0"/>
        <w:jc w:val="both"/>
      </w:pPr>
      <w:r>
        <w:rPr>
          <w:rFonts w:ascii="Times New Roman"/>
          <w:b w:val="false"/>
          <w:i w:val="false"/>
          <w:color w:val="000000"/>
          <w:sz w:val="28"/>
        </w:rPr>
        <w:t xml:space="preserve">
      The Central Authorities of both States shall take all necessary steps to obtain permission for the child to leave the State of origin and to enter and reside permanently in the receiving State. </w:t>
      </w:r>
    </w:p>
    <w:bookmarkEnd w:id="42"/>
    <w:bookmarkStart w:name="z91" w:id="43"/>
    <w:p>
      <w:pPr>
        <w:spacing w:after="0"/>
        <w:ind w:left="0"/>
        <w:jc w:val="left"/>
      </w:pPr>
      <w:r>
        <w:rPr>
          <w:rFonts w:ascii="Times New Roman"/>
          <w:b/>
          <w:i w:val="false"/>
          <w:color w:val="000000"/>
        </w:rPr>
        <w:t xml:space="preserve"> 
Article 19 </w:t>
      </w:r>
    </w:p>
    <w:bookmarkEnd w:id="43"/>
    <w:bookmarkStart w:name="z92" w:id="44"/>
    <w:p>
      <w:pPr>
        <w:spacing w:after="0"/>
        <w:ind w:left="0"/>
        <w:jc w:val="both"/>
      </w:pPr>
      <w:r>
        <w:rPr>
          <w:rFonts w:ascii="Times New Roman"/>
          <w:b w:val="false"/>
          <w:i w:val="false"/>
          <w:color w:val="000000"/>
          <w:sz w:val="28"/>
        </w:rPr>
        <w:t xml:space="preserve">
      (1) The transfer of the child to the receiving State may only be carried out if the requirements of Article 17 have been satisfied. </w:t>
      </w:r>
      <w:r>
        <w:br/>
      </w:r>
      <w:r>
        <w:rPr>
          <w:rFonts w:ascii="Times New Roman"/>
          <w:b w:val="false"/>
          <w:i w:val="false"/>
          <w:color w:val="000000"/>
          <w:sz w:val="28"/>
        </w:rPr>
        <w:t>
</w:t>
      </w:r>
      <w:r>
        <w:rPr>
          <w:rFonts w:ascii="Times New Roman"/>
          <w:b w:val="false"/>
          <w:i w:val="false"/>
          <w:color w:val="000000"/>
          <w:sz w:val="28"/>
        </w:rPr>
        <w:t xml:space="preserve">
      (2) The Central Authorities of both States shall ensure that this transfer takes place in secure and appropriate circumstances and, if possible, in the company of the adoptive or prospective adoptive parents. </w:t>
      </w:r>
      <w:r>
        <w:br/>
      </w:r>
      <w:r>
        <w:rPr>
          <w:rFonts w:ascii="Times New Roman"/>
          <w:b w:val="false"/>
          <w:i w:val="false"/>
          <w:color w:val="000000"/>
          <w:sz w:val="28"/>
        </w:rPr>
        <w:t>
</w:t>
      </w:r>
      <w:r>
        <w:rPr>
          <w:rFonts w:ascii="Times New Roman"/>
          <w:b w:val="false"/>
          <w:i w:val="false"/>
          <w:color w:val="000000"/>
          <w:sz w:val="28"/>
        </w:rPr>
        <w:t>
      (3) If the transfer of the child does not take place, the reports referred to in </w:t>
      </w:r>
      <w:r>
        <w:rPr>
          <w:rFonts w:ascii="Times New Roman"/>
          <w:b w:val="false"/>
          <w:i w:val="false"/>
          <w:color w:val="000000"/>
          <w:sz w:val="28"/>
        </w:rPr>
        <w:t>Articles 15</w:t>
      </w:r>
      <w:r>
        <w:rPr>
          <w:rFonts w:ascii="Times New Roman"/>
          <w:b w:val="false"/>
          <w:i w:val="false"/>
          <w:color w:val="000000"/>
          <w:sz w:val="28"/>
        </w:rPr>
        <w:t xml:space="preserve"> and </w:t>
      </w:r>
      <w:r>
        <w:rPr>
          <w:rFonts w:ascii="Times New Roman"/>
          <w:b w:val="false"/>
          <w:i w:val="false"/>
          <w:color w:val="000000"/>
          <w:sz w:val="28"/>
        </w:rPr>
        <w:t>16</w:t>
      </w:r>
      <w:r>
        <w:rPr>
          <w:rFonts w:ascii="Times New Roman"/>
          <w:b w:val="false"/>
          <w:i w:val="false"/>
          <w:color w:val="000000"/>
          <w:sz w:val="28"/>
        </w:rPr>
        <w:t xml:space="preserve"> are to be sent back to the authorities who forwarded them. </w:t>
      </w:r>
    </w:p>
    <w:bookmarkEnd w:id="44"/>
    <w:bookmarkStart w:name="z95" w:id="45"/>
    <w:p>
      <w:pPr>
        <w:spacing w:after="0"/>
        <w:ind w:left="0"/>
        <w:jc w:val="left"/>
      </w:pPr>
      <w:r>
        <w:rPr>
          <w:rFonts w:ascii="Times New Roman"/>
          <w:b/>
          <w:i w:val="false"/>
          <w:color w:val="000000"/>
        </w:rPr>
        <w:t xml:space="preserve"> 
Article 20 </w:t>
      </w:r>
    </w:p>
    <w:bookmarkEnd w:id="45"/>
    <w:bookmarkStart w:name="z96" w:id="46"/>
    <w:p>
      <w:pPr>
        <w:spacing w:after="0"/>
        <w:ind w:left="0"/>
        <w:jc w:val="both"/>
      </w:pPr>
      <w:r>
        <w:rPr>
          <w:rFonts w:ascii="Times New Roman"/>
          <w:b w:val="false"/>
          <w:i w:val="false"/>
          <w:color w:val="000000"/>
          <w:sz w:val="28"/>
        </w:rPr>
        <w:t xml:space="preserve">
      The Central Authorities shall keep each other informed about the adoption process and the measures taken to complete it, as well as about the progress of the placement if a probationary period is required. </w:t>
      </w:r>
    </w:p>
    <w:bookmarkEnd w:id="46"/>
    <w:bookmarkStart w:name="z97" w:id="47"/>
    <w:p>
      <w:pPr>
        <w:spacing w:after="0"/>
        <w:ind w:left="0"/>
        <w:jc w:val="left"/>
      </w:pPr>
      <w:r>
        <w:rPr>
          <w:rFonts w:ascii="Times New Roman"/>
          <w:b/>
          <w:i w:val="false"/>
          <w:color w:val="000000"/>
        </w:rPr>
        <w:t xml:space="preserve"> 
Article 21 </w:t>
      </w:r>
    </w:p>
    <w:bookmarkEnd w:id="47"/>
    <w:bookmarkStart w:name="z98" w:id="48"/>
    <w:p>
      <w:pPr>
        <w:spacing w:after="0"/>
        <w:ind w:left="0"/>
        <w:jc w:val="both"/>
      </w:pPr>
      <w:r>
        <w:rPr>
          <w:rFonts w:ascii="Times New Roman"/>
          <w:b w:val="false"/>
          <w:i w:val="false"/>
          <w:color w:val="000000"/>
          <w:sz w:val="28"/>
        </w:rPr>
        <w:t xml:space="preserve">
      (1) Where the adoption is to take place after the transfer of the child to the receiving State and it appears to the Central Authority of that State that the continued placement of the child with the prospective adoptive parents is not in the child's best interests, such Central Authority shall take the measures necessary to protect the child, in particular - </w:t>
      </w:r>
      <w:r>
        <w:br/>
      </w:r>
      <w:r>
        <w:rPr>
          <w:rFonts w:ascii="Times New Roman"/>
          <w:b w:val="false"/>
          <w:i w:val="false"/>
          <w:color w:val="000000"/>
          <w:sz w:val="28"/>
        </w:rPr>
        <w:t>
</w:t>
      </w:r>
      <w:r>
        <w:rPr>
          <w:rFonts w:ascii="Times New Roman"/>
          <w:b w:val="false"/>
          <w:i w:val="false"/>
          <w:color w:val="000000"/>
          <w:sz w:val="28"/>
        </w:rPr>
        <w:t xml:space="preserve">
      a) to cause the child to be withdrawn from the prospective adoptive parents and to arrange temporary care; </w:t>
      </w:r>
      <w:r>
        <w:br/>
      </w:r>
      <w:r>
        <w:rPr>
          <w:rFonts w:ascii="Times New Roman"/>
          <w:b w:val="false"/>
          <w:i w:val="false"/>
          <w:color w:val="000000"/>
          <w:sz w:val="28"/>
        </w:rPr>
        <w:t>
</w:t>
      </w:r>
      <w:r>
        <w:rPr>
          <w:rFonts w:ascii="Times New Roman"/>
          <w:b w:val="false"/>
          <w:i w:val="false"/>
          <w:color w:val="000000"/>
          <w:sz w:val="28"/>
        </w:rPr>
        <w:t xml:space="preserve">
      b) in consultation with the Central Authority of the State of origin, to arrange without delay a new placement of the child with a view to adoption or, if this is not appropriate, to arrange alternative long-term care; an adoption shall not take place until the Central Authority of the State of origin has been duly informed concerning the new prospective adoptive parents; </w:t>
      </w:r>
      <w:r>
        <w:br/>
      </w:r>
      <w:r>
        <w:rPr>
          <w:rFonts w:ascii="Times New Roman"/>
          <w:b w:val="false"/>
          <w:i w:val="false"/>
          <w:color w:val="000000"/>
          <w:sz w:val="28"/>
        </w:rPr>
        <w:t>
</w:t>
      </w:r>
      <w:r>
        <w:rPr>
          <w:rFonts w:ascii="Times New Roman"/>
          <w:b w:val="false"/>
          <w:i w:val="false"/>
          <w:color w:val="000000"/>
          <w:sz w:val="28"/>
        </w:rPr>
        <w:t xml:space="preserve">
      c) as a last resort, to arrange the return of the child, if his or her interests so require. </w:t>
      </w:r>
      <w:r>
        <w:br/>
      </w:r>
      <w:r>
        <w:rPr>
          <w:rFonts w:ascii="Times New Roman"/>
          <w:b w:val="false"/>
          <w:i w:val="false"/>
          <w:color w:val="000000"/>
          <w:sz w:val="28"/>
        </w:rPr>
        <w:t>
</w:t>
      </w:r>
      <w:r>
        <w:rPr>
          <w:rFonts w:ascii="Times New Roman"/>
          <w:b w:val="false"/>
          <w:i w:val="false"/>
          <w:color w:val="000000"/>
          <w:sz w:val="28"/>
        </w:rPr>
        <w:t xml:space="preserve">
      (2) Having regard in particular to the age and degree of maturity of the child, he or she shall be consulted and, where appropriate, his or her consent obtained in relation to measures to be taken under this Article. </w:t>
      </w:r>
    </w:p>
    <w:bookmarkEnd w:id="48"/>
    <w:bookmarkStart w:name="z103" w:id="49"/>
    <w:p>
      <w:pPr>
        <w:spacing w:after="0"/>
        <w:ind w:left="0"/>
        <w:jc w:val="left"/>
      </w:pPr>
      <w:r>
        <w:rPr>
          <w:rFonts w:ascii="Times New Roman"/>
          <w:b/>
          <w:i w:val="false"/>
          <w:color w:val="000000"/>
        </w:rPr>
        <w:t xml:space="preserve"> 
Article 22 </w:t>
      </w:r>
    </w:p>
    <w:bookmarkEnd w:id="49"/>
    <w:bookmarkStart w:name="z104" w:id="50"/>
    <w:p>
      <w:pPr>
        <w:spacing w:after="0"/>
        <w:ind w:left="0"/>
        <w:jc w:val="both"/>
      </w:pPr>
      <w:r>
        <w:rPr>
          <w:rFonts w:ascii="Times New Roman"/>
          <w:b w:val="false"/>
          <w:i w:val="false"/>
          <w:color w:val="000000"/>
          <w:sz w:val="28"/>
        </w:rPr>
        <w:t>
      (1) The functions of a Central Authority under this Chapter may be performed by public authorities or by bodies accredited under </w:t>
      </w:r>
      <w:r>
        <w:rPr>
          <w:rFonts w:ascii="Times New Roman"/>
          <w:b w:val="false"/>
          <w:i w:val="false"/>
          <w:color w:val="000000"/>
          <w:sz w:val="28"/>
        </w:rPr>
        <w:t>Chapter III</w:t>
      </w:r>
      <w:r>
        <w:rPr>
          <w:rFonts w:ascii="Times New Roman"/>
          <w:b w:val="false"/>
          <w:i w:val="false"/>
          <w:color w:val="000000"/>
          <w:sz w:val="28"/>
        </w:rPr>
        <w:t xml:space="preserve">, to the extent permitted by the law of its State. </w:t>
      </w:r>
      <w:r>
        <w:br/>
      </w:r>
      <w:r>
        <w:rPr>
          <w:rFonts w:ascii="Times New Roman"/>
          <w:b w:val="false"/>
          <w:i w:val="false"/>
          <w:color w:val="000000"/>
          <w:sz w:val="28"/>
        </w:rPr>
        <w:t>
</w:t>
      </w:r>
      <w:r>
        <w:rPr>
          <w:rFonts w:ascii="Times New Roman"/>
          <w:b w:val="false"/>
          <w:i w:val="false"/>
          <w:color w:val="000000"/>
          <w:sz w:val="28"/>
        </w:rPr>
        <w:t>
      (2) Any Contracting State may declare to the depositary of the Convention that the functions of the Central Authority under </w:t>
      </w:r>
      <w:r>
        <w:rPr>
          <w:rFonts w:ascii="Times New Roman"/>
          <w:b w:val="false"/>
          <w:i w:val="false"/>
          <w:color w:val="000000"/>
          <w:sz w:val="28"/>
        </w:rPr>
        <w:t>Articles 15</w:t>
      </w:r>
      <w:r>
        <w:rPr>
          <w:rFonts w:ascii="Times New Roman"/>
          <w:b w:val="false"/>
          <w:i w:val="false"/>
          <w:color w:val="000000"/>
          <w:sz w:val="28"/>
        </w:rPr>
        <w:t xml:space="preserve"> to 21 may be performed in that State, to the extent permitted by the law and subject to the supervision of the competent authorities of that State, also by bodies or persons who - </w:t>
      </w:r>
      <w:r>
        <w:br/>
      </w:r>
      <w:r>
        <w:rPr>
          <w:rFonts w:ascii="Times New Roman"/>
          <w:b w:val="false"/>
          <w:i w:val="false"/>
          <w:color w:val="000000"/>
          <w:sz w:val="28"/>
        </w:rPr>
        <w:t>
</w:t>
      </w:r>
      <w:r>
        <w:rPr>
          <w:rFonts w:ascii="Times New Roman"/>
          <w:b w:val="false"/>
          <w:i w:val="false"/>
          <w:color w:val="000000"/>
          <w:sz w:val="28"/>
        </w:rPr>
        <w:t xml:space="preserve">
      a) meet the requirements of integrity, professional competence, experience and accountability of that State; and </w:t>
      </w:r>
      <w:r>
        <w:br/>
      </w:r>
      <w:r>
        <w:rPr>
          <w:rFonts w:ascii="Times New Roman"/>
          <w:b w:val="false"/>
          <w:i w:val="false"/>
          <w:color w:val="000000"/>
          <w:sz w:val="28"/>
        </w:rPr>
        <w:t>
</w:t>
      </w:r>
      <w:r>
        <w:rPr>
          <w:rFonts w:ascii="Times New Roman"/>
          <w:b w:val="false"/>
          <w:i w:val="false"/>
          <w:color w:val="000000"/>
          <w:sz w:val="28"/>
        </w:rPr>
        <w:t xml:space="preserve">
      b) are qualified by their ethical standards and by training or experience to work in the field of intercountry adoption. </w:t>
      </w:r>
      <w:r>
        <w:br/>
      </w:r>
      <w:r>
        <w:rPr>
          <w:rFonts w:ascii="Times New Roman"/>
          <w:b w:val="false"/>
          <w:i w:val="false"/>
          <w:color w:val="000000"/>
          <w:sz w:val="28"/>
        </w:rPr>
        <w:t>
</w:t>
      </w:r>
      <w:r>
        <w:rPr>
          <w:rFonts w:ascii="Times New Roman"/>
          <w:b w:val="false"/>
          <w:i w:val="false"/>
          <w:color w:val="000000"/>
          <w:sz w:val="28"/>
        </w:rPr>
        <w:t xml:space="preserve">
      (3) A Contracting State which makes the declaration provided for in paragraph 2 shall keep the Permanent Bureau of the Hague Conference on Private International Law informed of the names and addresses of these bodies and persons. </w:t>
      </w:r>
      <w:r>
        <w:br/>
      </w:r>
      <w:r>
        <w:rPr>
          <w:rFonts w:ascii="Times New Roman"/>
          <w:b w:val="false"/>
          <w:i w:val="false"/>
          <w:color w:val="000000"/>
          <w:sz w:val="28"/>
        </w:rPr>
        <w:t>
</w:t>
      </w:r>
      <w:r>
        <w:rPr>
          <w:rFonts w:ascii="Times New Roman"/>
          <w:b w:val="false"/>
          <w:i w:val="false"/>
          <w:color w:val="000000"/>
          <w:sz w:val="28"/>
        </w:rPr>
        <w:t xml:space="preserve">
      (4) Any Contracting State may declare to the depositary of the Convention that adoptions of children habitually resident in its territory may only take place if the functions of the Central Authorities are performed in accordance with paragraph 1. </w:t>
      </w:r>
      <w:r>
        <w:br/>
      </w:r>
      <w:r>
        <w:rPr>
          <w:rFonts w:ascii="Times New Roman"/>
          <w:b w:val="false"/>
          <w:i w:val="false"/>
          <w:color w:val="000000"/>
          <w:sz w:val="28"/>
        </w:rPr>
        <w:t>
</w:t>
      </w:r>
      <w:r>
        <w:rPr>
          <w:rFonts w:ascii="Times New Roman"/>
          <w:b w:val="false"/>
          <w:i w:val="false"/>
          <w:color w:val="000000"/>
          <w:sz w:val="28"/>
        </w:rPr>
        <w:t>
      (5) Notwithstanding any declaration made under paragraph 2, the reports provided for in </w:t>
      </w:r>
      <w:r>
        <w:rPr>
          <w:rFonts w:ascii="Times New Roman"/>
          <w:b w:val="false"/>
          <w:i w:val="false"/>
          <w:color w:val="000000"/>
          <w:sz w:val="28"/>
        </w:rPr>
        <w:t>Articles 15</w:t>
      </w:r>
      <w:r>
        <w:rPr>
          <w:rFonts w:ascii="Times New Roman"/>
          <w:b w:val="false"/>
          <w:i w:val="false"/>
          <w:color w:val="000000"/>
          <w:sz w:val="28"/>
        </w:rPr>
        <w:t xml:space="preserve"> and </w:t>
      </w:r>
      <w:r>
        <w:rPr>
          <w:rFonts w:ascii="Times New Roman"/>
          <w:b w:val="false"/>
          <w:i w:val="false"/>
          <w:color w:val="000000"/>
          <w:sz w:val="28"/>
        </w:rPr>
        <w:t>16</w:t>
      </w:r>
      <w:r>
        <w:rPr>
          <w:rFonts w:ascii="Times New Roman"/>
          <w:b w:val="false"/>
          <w:i w:val="false"/>
          <w:color w:val="000000"/>
          <w:sz w:val="28"/>
        </w:rPr>
        <w:t xml:space="preserve"> shall, in every case, be prepared under the responsibility of the Central Authority or other authorities or bodies in accordance with paragraph 1. </w:t>
      </w:r>
    </w:p>
    <w:bookmarkEnd w:id="50"/>
    <w:bookmarkStart w:name="z111" w:id="51"/>
    <w:p>
      <w:pPr>
        <w:spacing w:after="0"/>
        <w:ind w:left="0"/>
        <w:jc w:val="left"/>
      </w:pPr>
      <w:r>
        <w:rPr>
          <w:rFonts w:ascii="Times New Roman"/>
          <w:b/>
          <w:i w:val="false"/>
          <w:color w:val="000000"/>
        </w:rPr>
        <w:t xml:space="preserve"> 
chapter v - recognition and effects of the adoption </w:t>
      </w:r>
    </w:p>
    <w:bookmarkEnd w:id="51"/>
    <w:bookmarkStart w:name="z112" w:id="52"/>
    <w:p>
      <w:pPr>
        <w:spacing w:after="0"/>
        <w:ind w:left="0"/>
        <w:jc w:val="left"/>
      </w:pPr>
      <w:r>
        <w:rPr>
          <w:rFonts w:ascii="Times New Roman"/>
          <w:b/>
          <w:i w:val="false"/>
          <w:color w:val="000000"/>
        </w:rPr>
        <w:t xml:space="preserve"> 
Article 23 </w:t>
      </w:r>
    </w:p>
    <w:bookmarkEnd w:id="52"/>
    <w:bookmarkStart w:name="z113" w:id="53"/>
    <w:p>
      <w:pPr>
        <w:spacing w:after="0"/>
        <w:ind w:left="0"/>
        <w:jc w:val="both"/>
      </w:pPr>
      <w:r>
        <w:rPr>
          <w:rFonts w:ascii="Times New Roman"/>
          <w:b w:val="false"/>
          <w:i w:val="false"/>
          <w:color w:val="000000"/>
          <w:sz w:val="28"/>
        </w:rPr>
        <w:t>
      (1) An adoption certified by the competent authority of the State of the adoption as having been made in accordance with the Convention shall be recognised by operation of law in the other Contracting States. The certificate shall specify when and by whom the agreements under Article 17, </w:t>
      </w:r>
      <w:r>
        <w:rPr>
          <w:rFonts w:ascii="Times New Roman"/>
          <w:b w:val="false"/>
          <w:i w:val="false"/>
          <w:color w:val="000000"/>
          <w:sz w:val="28"/>
        </w:rPr>
        <w:t>sub-paragraph c)</w:t>
      </w:r>
      <w:r>
        <w:rPr>
          <w:rFonts w:ascii="Times New Roman"/>
          <w:b w:val="false"/>
          <w:i w:val="false"/>
          <w:color w:val="000000"/>
          <w:sz w:val="28"/>
        </w:rPr>
        <w:t xml:space="preserve">, were given. </w:t>
      </w:r>
      <w:r>
        <w:br/>
      </w:r>
      <w:r>
        <w:rPr>
          <w:rFonts w:ascii="Times New Roman"/>
          <w:b w:val="false"/>
          <w:i w:val="false"/>
          <w:color w:val="000000"/>
          <w:sz w:val="28"/>
        </w:rPr>
        <w:t>
</w:t>
      </w:r>
      <w:r>
        <w:rPr>
          <w:rFonts w:ascii="Times New Roman"/>
          <w:b w:val="false"/>
          <w:i w:val="false"/>
          <w:color w:val="000000"/>
          <w:sz w:val="28"/>
        </w:rPr>
        <w:t xml:space="preserve">
      (2) Each Contracting State shall, at the time of signature, ratification, acceptance, approval or accession, notify the depositary of the Convention of the identity and the functions of the authority or the authorities which, in that State, are competent to make the certification. It shall also notify the depositary of any modification in the designation of these authorities. </w:t>
      </w:r>
    </w:p>
    <w:bookmarkEnd w:id="53"/>
    <w:bookmarkStart w:name="z115" w:id="54"/>
    <w:p>
      <w:pPr>
        <w:spacing w:after="0"/>
        <w:ind w:left="0"/>
        <w:jc w:val="left"/>
      </w:pPr>
      <w:r>
        <w:rPr>
          <w:rFonts w:ascii="Times New Roman"/>
          <w:b/>
          <w:i w:val="false"/>
          <w:color w:val="000000"/>
        </w:rPr>
        <w:t xml:space="preserve"> 
Article 24 </w:t>
      </w:r>
    </w:p>
    <w:bookmarkEnd w:id="54"/>
    <w:bookmarkStart w:name="z116" w:id="55"/>
    <w:p>
      <w:pPr>
        <w:spacing w:after="0"/>
        <w:ind w:left="0"/>
        <w:jc w:val="both"/>
      </w:pPr>
      <w:r>
        <w:rPr>
          <w:rFonts w:ascii="Times New Roman"/>
          <w:b w:val="false"/>
          <w:i w:val="false"/>
          <w:color w:val="000000"/>
          <w:sz w:val="28"/>
        </w:rPr>
        <w:t xml:space="preserve">
      The recognition of an adoption may be refused in a Contracting State only if the adoption is manifestly contrary to its public policy, taking into account the best interests of the child. </w:t>
      </w:r>
    </w:p>
    <w:bookmarkEnd w:id="55"/>
    <w:bookmarkStart w:name="z117" w:id="56"/>
    <w:p>
      <w:pPr>
        <w:spacing w:after="0"/>
        <w:ind w:left="0"/>
        <w:jc w:val="left"/>
      </w:pPr>
      <w:r>
        <w:rPr>
          <w:rFonts w:ascii="Times New Roman"/>
          <w:b/>
          <w:i w:val="false"/>
          <w:color w:val="000000"/>
        </w:rPr>
        <w:t xml:space="preserve"> 
Article 25 </w:t>
      </w:r>
    </w:p>
    <w:bookmarkEnd w:id="56"/>
    <w:bookmarkStart w:name="z118" w:id="57"/>
    <w:p>
      <w:pPr>
        <w:spacing w:after="0"/>
        <w:ind w:left="0"/>
        <w:jc w:val="both"/>
      </w:pPr>
      <w:r>
        <w:rPr>
          <w:rFonts w:ascii="Times New Roman"/>
          <w:b w:val="false"/>
          <w:i w:val="false"/>
          <w:color w:val="000000"/>
          <w:sz w:val="28"/>
        </w:rPr>
        <w:t>
      Any Contracting State may declare to the depositary of the Convention that it will not be bound under this Convention to recognise adoptions made in accordance with an agreement concluded by application of Article 39, </w:t>
      </w:r>
      <w:r>
        <w:rPr>
          <w:rFonts w:ascii="Times New Roman"/>
          <w:b w:val="false"/>
          <w:i w:val="false"/>
          <w:color w:val="000000"/>
          <w:sz w:val="28"/>
        </w:rPr>
        <w:t>paragraph 2</w:t>
      </w:r>
      <w:r>
        <w:rPr>
          <w:rFonts w:ascii="Times New Roman"/>
          <w:b w:val="false"/>
          <w:i w:val="false"/>
          <w:color w:val="000000"/>
          <w:sz w:val="28"/>
        </w:rPr>
        <w:t xml:space="preserve">. </w:t>
      </w:r>
    </w:p>
    <w:bookmarkEnd w:id="57"/>
    <w:bookmarkStart w:name="z119" w:id="58"/>
    <w:p>
      <w:pPr>
        <w:spacing w:after="0"/>
        <w:ind w:left="0"/>
        <w:jc w:val="left"/>
      </w:pPr>
      <w:r>
        <w:rPr>
          <w:rFonts w:ascii="Times New Roman"/>
          <w:b/>
          <w:i w:val="false"/>
          <w:color w:val="000000"/>
        </w:rPr>
        <w:t xml:space="preserve"> 
Article 26 </w:t>
      </w:r>
    </w:p>
    <w:bookmarkEnd w:id="58"/>
    <w:bookmarkStart w:name="z120" w:id="59"/>
    <w:p>
      <w:pPr>
        <w:spacing w:after="0"/>
        <w:ind w:left="0"/>
        <w:jc w:val="both"/>
      </w:pPr>
      <w:r>
        <w:rPr>
          <w:rFonts w:ascii="Times New Roman"/>
          <w:b w:val="false"/>
          <w:i w:val="false"/>
          <w:color w:val="000000"/>
          <w:sz w:val="28"/>
        </w:rPr>
        <w:t xml:space="preserve">
      (1) The recognition of an adoption includes recognition of </w:t>
      </w:r>
      <w:r>
        <w:br/>
      </w:r>
      <w:r>
        <w:rPr>
          <w:rFonts w:ascii="Times New Roman"/>
          <w:b w:val="false"/>
          <w:i w:val="false"/>
          <w:color w:val="000000"/>
          <w:sz w:val="28"/>
        </w:rPr>
        <w:t>
</w:t>
      </w:r>
      <w:r>
        <w:rPr>
          <w:rFonts w:ascii="Times New Roman"/>
          <w:b w:val="false"/>
          <w:i w:val="false"/>
          <w:color w:val="000000"/>
          <w:sz w:val="28"/>
        </w:rPr>
        <w:t xml:space="preserve">
      a) the legal parent-child relationship between the child and his or her adoptive parents; </w:t>
      </w:r>
      <w:r>
        <w:br/>
      </w:r>
      <w:r>
        <w:rPr>
          <w:rFonts w:ascii="Times New Roman"/>
          <w:b w:val="false"/>
          <w:i w:val="false"/>
          <w:color w:val="000000"/>
          <w:sz w:val="28"/>
        </w:rPr>
        <w:t>
</w:t>
      </w:r>
      <w:r>
        <w:rPr>
          <w:rFonts w:ascii="Times New Roman"/>
          <w:b w:val="false"/>
          <w:i w:val="false"/>
          <w:color w:val="000000"/>
          <w:sz w:val="28"/>
        </w:rPr>
        <w:t xml:space="preserve">
      b) parental responsibility of the adoptive parents for the child; </w:t>
      </w:r>
      <w:r>
        <w:br/>
      </w:r>
      <w:r>
        <w:rPr>
          <w:rFonts w:ascii="Times New Roman"/>
          <w:b w:val="false"/>
          <w:i w:val="false"/>
          <w:color w:val="000000"/>
          <w:sz w:val="28"/>
        </w:rPr>
        <w:t>
</w:t>
      </w:r>
      <w:r>
        <w:rPr>
          <w:rFonts w:ascii="Times New Roman"/>
          <w:b w:val="false"/>
          <w:i w:val="false"/>
          <w:color w:val="000000"/>
          <w:sz w:val="28"/>
        </w:rPr>
        <w:t xml:space="preserve">
      c) the termination of a pre-existing legal relationship between the child and his or her mother and father, if the adoption has this effect in the Contracting State where it was made. </w:t>
      </w:r>
      <w:r>
        <w:br/>
      </w:r>
      <w:r>
        <w:rPr>
          <w:rFonts w:ascii="Times New Roman"/>
          <w:b w:val="false"/>
          <w:i w:val="false"/>
          <w:color w:val="000000"/>
          <w:sz w:val="28"/>
        </w:rPr>
        <w:t>
</w:t>
      </w:r>
      <w:r>
        <w:rPr>
          <w:rFonts w:ascii="Times New Roman"/>
          <w:b w:val="false"/>
          <w:i w:val="false"/>
          <w:color w:val="000000"/>
          <w:sz w:val="28"/>
        </w:rPr>
        <w:t xml:space="preserve">
      2) In the case of an adoption having the effect of terminating a pre-existing legal parent-child relationship, the child shall enjoy in the receiving State, and in any other Contracting State where the adoption is recognised, rights equivalent to those resulting from adoptions having this effect in each such State. </w:t>
      </w:r>
      <w:r>
        <w:br/>
      </w:r>
      <w:r>
        <w:rPr>
          <w:rFonts w:ascii="Times New Roman"/>
          <w:b w:val="false"/>
          <w:i w:val="false"/>
          <w:color w:val="000000"/>
          <w:sz w:val="28"/>
        </w:rPr>
        <w:t>
</w:t>
      </w:r>
      <w:r>
        <w:rPr>
          <w:rFonts w:ascii="Times New Roman"/>
          <w:b w:val="false"/>
          <w:i w:val="false"/>
          <w:color w:val="000000"/>
          <w:sz w:val="28"/>
        </w:rPr>
        <w:t xml:space="preserve">
      (3) The preceding paragraphs shall not prejudice the application of any provision more favourable for the child, in force in the Contracting State which recognises the adoption. </w:t>
      </w:r>
    </w:p>
    <w:bookmarkEnd w:id="59"/>
    <w:bookmarkStart w:name="z126" w:id="60"/>
    <w:p>
      <w:pPr>
        <w:spacing w:after="0"/>
        <w:ind w:left="0"/>
        <w:jc w:val="left"/>
      </w:pPr>
      <w:r>
        <w:rPr>
          <w:rFonts w:ascii="Times New Roman"/>
          <w:b/>
          <w:i w:val="false"/>
          <w:color w:val="000000"/>
        </w:rPr>
        <w:t xml:space="preserve"> 
Article 27 </w:t>
      </w:r>
    </w:p>
    <w:bookmarkEnd w:id="60"/>
    <w:bookmarkStart w:name="z127" w:id="61"/>
    <w:p>
      <w:pPr>
        <w:spacing w:after="0"/>
        <w:ind w:left="0"/>
        <w:jc w:val="both"/>
      </w:pPr>
      <w:r>
        <w:rPr>
          <w:rFonts w:ascii="Times New Roman"/>
          <w:b w:val="false"/>
          <w:i w:val="false"/>
          <w:color w:val="000000"/>
          <w:sz w:val="28"/>
        </w:rPr>
        <w:t xml:space="preserve">
      (1) Where an adoption granted in the State of origin does not have the effect of terminating a pre-existing legal parent-child relationship, it may, in the receiving State which recognises the adoption under the Convention, be converted into an adoption having such an effect - </w:t>
      </w:r>
      <w:r>
        <w:br/>
      </w:r>
      <w:r>
        <w:rPr>
          <w:rFonts w:ascii="Times New Roman"/>
          <w:b w:val="false"/>
          <w:i w:val="false"/>
          <w:color w:val="000000"/>
          <w:sz w:val="28"/>
        </w:rPr>
        <w:t>
</w:t>
      </w:r>
      <w:r>
        <w:rPr>
          <w:rFonts w:ascii="Times New Roman"/>
          <w:b w:val="false"/>
          <w:i w:val="false"/>
          <w:color w:val="000000"/>
          <w:sz w:val="28"/>
        </w:rPr>
        <w:t xml:space="preserve">
      a) if the law of the receiving State so permits; and </w:t>
      </w:r>
      <w:r>
        <w:br/>
      </w:r>
      <w:r>
        <w:rPr>
          <w:rFonts w:ascii="Times New Roman"/>
          <w:b w:val="false"/>
          <w:i w:val="false"/>
          <w:color w:val="000000"/>
          <w:sz w:val="28"/>
        </w:rPr>
        <w:t>
</w:t>
      </w:r>
      <w:r>
        <w:rPr>
          <w:rFonts w:ascii="Times New Roman"/>
          <w:b w:val="false"/>
          <w:i w:val="false"/>
          <w:color w:val="000000"/>
          <w:sz w:val="28"/>
        </w:rPr>
        <w:t>
      b) if the consents referred to in Article 4, </w:t>
      </w:r>
      <w:r>
        <w:rPr>
          <w:rFonts w:ascii="Times New Roman"/>
          <w:b w:val="false"/>
          <w:i w:val="false"/>
          <w:color w:val="000000"/>
          <w:sz w:val="28"/>
        </w:rPr>
        <w:t>sub-paragraphs c</w:t>
      </w:r>
      <w:r>
        <w:rPr>
          <w:rFonts w:ascii="Times New Roman"/>
          <w:b w:val="false"/>
          <w:i w:val="false"/>
          <w:color w:val="000000"/>
          <w:sz w:val="28"/>
        </w:rPr>
        <w:t xml:space="preserve"> and </w:t>
      </w:r>
      <w:r>
        <w:rPr>
          <w:rFonts w:ascii="Times New Roman"/>
          <w:b w:val="false"/>
          <w:i w:val="false"/>
          <w:color w:val="000000"/>
          <w:sz w:val="28"/>
        </w:rPr>
        <w:t>d</w:t>
      </w:r>
      <w:r>
        <w:rPr>
          <w:rFonts w:ascii="Times New Roman"/>
          <w:b w:val="false"/>
          <w:i w:val="false"/>
          <w:color w:val="000000"/>
          <w:sz w:val="28"/>
        </w:rPr>
        <w:t xml:space="preserve">, have been or are given for the purpose of such an adoption.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Article 23</w:t>
      </w:r>
      <w:r>
        <w:rPr>
          <w:rFonts w:ascii="Times New Roman"/>
          <w:b w:val="false"/>
          <w:i w:val="false"/>
          <w:color w:val="000000"/>
          <w:sz w:val="28"/>
        </w:rPr>
        <w:t xml:space="preserve"> applies to the decision converting the adoption.  </w:t>
      </w:r>
    </w:p>
    <w:bookmarkEnd w:id="61"/>
    <w:bookmarkStart w:name="z131" w:id="62"/>
    <w:p>
      <w:pPr>
        <w:spacing w:after="0"/>
        <w:ind w:left="0"/>
        <w:jc w:val="left"/>
      </w:pPr>
      <w:r>
        <w:rPr>
          <w:rFonts w:ascii="Times New Roman"/>
          <w:b/>
          <w:i w:val="false"/>
          <w:color w:val="000000"/>
        </w:rPr>
        <w:t xml:space="preserve"> 
chapter vi - general provisions </w:t>
      </w:r>
    </w:p>
    <w:bookmarkEnd w:id="62"/>
    <w:bookmarkStart w:name="z132" w:id="63"/>
    <w:p>
      <w:pPr>
        <w:spacing w:after="0"/>
        <w:ind w:left="0"/>
        <w:jc w:val="left"/>
      </w:pPr>
      <w:r>
        <w:rPr>
          <w:rFonts w:ascii="Times New Roman"/>
          <w:b/>
          <w:i w:val="false"/>
          <w:color w:val="000000"/>
        </w:rPr>
        <w:t xml:space="preserve"> 
Article 28 </w:t>
      </w:r>
    </w:p>
    <w:bookmarkEnd w:id="63"/>
    <w:bookmarkStart w:name="z133" w:id="64"/>
    <w:p>
      <w:pPr>
        <w:spacing w:after="0"/>
        <w:ind w:left="0"/>
        <w:jc w:val="both"/>
      </w:pPr>
      <w:r>
        <w:rPr>
          <w:rFonts w:ascii="Times New Roman"/>
          <w:b w:val="false"/>
          <w:i w:val="false"/>
          <w:color w:val="000000"/>
          <w:sz w:val="28"/>
        </w:rPr>
        <w:t xml:space="preserve">
      The Convention does not affect any law of a State of origin which requires that the adoption of a child habitually resident within that State take place in that State or which prohibits the child's placement in, or transfer to, the receiving State prior to adoption. </w:t>
      </w:r>
    </w:p>
    <w:bookmarkEnd w:id="64"/>
    <w:bookmarkStart w:name="z134" w:id="65"/>
    <w:p>
      <w:pPr>
        <w:spacing w:after="0"/>
        <w:ind w:left="0"/>
        <w:jc w:val="left"/>
      </w:pPr>
      <w:r>
        <w:rPr>
          <w:rFonts w:ascii="Times New Roman"/>
          <w:b/>
          <w:i w:val="false"/>
          <w:color w:val="000000"/>
        </w:rPr>
        <w:t xml:space="preserve"> 
Article 29 </w:t>
      </w:r>
    </w:p>
    <w:bookmarkEnd w:id="65"/>
    <w:bookmarkStart w:name="z135" w:id="66"/>
    <w:p>
      <w:pPr>
        <w:spacing w:after="0"/>
        <w:ind w:left="0"/>
        <w:jc w:val="both"/>
      </w:pPr>
      <w:r>
        <w:rPr>
          <w:rFonts w:ascii="Times New Roman"/>
          <w:b w:val="false"/>
          <w:i w:val="false"/>
          <w:color w:val="000000"/>
          <w:sz w:val="28"/>
        </w:rPr>
        <w:t>
      There shall be no contact between the prospective adoptive parents and the child's parents or any other person who has care of the child until the requirements of </w:t>
      </w:r>
      <w:r>
        <w:rPr>
          <w:rFonts w:ascii="Times New Roman"/>
          <w:b w:val="false"/>
          <w:i w:val="false"/>
          <w:color w:val="000000"/>
          <w:sz w:val="28"/>
        </w:rPr>
        <w:t>Article 4</w:t>
      </w:r>
      <w:r>
        <w:rPr>
          <w:rFonts w:ascii="Times New Roman"/>
          <w:b w:val="false"/>
          <w:i w:val="false"/>
          <w:color w:val="000000"/>
          <w:sz w:val="28"/>
        </w:rPr>
        <w:t>, sub-paragraphs a) to c), and </w:t>
      </w:r>
      <w:r>
        <w:rPr>
          <w:rFonts w:ascii="Times New Roman"/>
          <w:b w:val="false"/>
          <w:i w:val="false"/>
          <w:color w:val="000000"/>
          <w:sz w:val="28"/>
        </w:rPr>
        <w:t>Article 5</w:t>
      </w:r>
      <w:r>
        <w:rPr>
          <w:rFonts w:ascii="Times New Roman"/>
          <w:b w:val="false"/>
          <w:i w:val="false"/>
          <w:color w:val="000000"/>
          <w:sz w:val="28"/>
        </w:rPr>
        <w:t xml:space="preserve">, sub-paragraph a), have been met, unless the adoption takes place within a family or unless the contact is in compliance with the conditions established by the competent authority of the State of origin. </w:t>
      </w:r>
    </w:p>
    <w:bookmarkEnd w:id="66"/>
    <w:bookmarkStart w:name="z136" w:id="67"/>
    <w:p>
      <w:pPr>
        <w:spacing w:after="0"/>
        <w:ind w:left="0"/>
        <w:jc w:val="left"/>
      </w:pPr>
      <w:r>
        <w:rPr>
          <w:rFonts w:ascii="Times New Roman"/>
          <w:b/>
          <w:i w:val="false"/>
          <w:color w:val="000000"/>
        </w:rPr>
        <w:t xml:space="preserve"> 
Article 30 </w:t>
      </w:r>
    </w:p>
    <w:bookmarkEnd w:id="67"/>
    <w:bookmarkStart w:name="z137" w:id="68"/>
    <w:p>
      <w:pPr>
        <w:spacing w:after="0"/>
        <w:ind w:left="0"/>
        <w:jc w:val="both"/>
      </w:pPr>
      <w:r>
        <w:rPr>
          <w:rFonts w:ascii="Times New Roman"/>
          <w:b w:val="false"/>
          <w:i w:val="false"/>
          <w:color w:val="000000"/>
          <w:sz w:val="28"/>
        </w:rPr>
        <w:t xml:space="preserve">
      (1) The competent authorities of a Contracting State shall ensure that information held by them concerning the child's origin, in particular information concerning the identity of his or her parents, as well as the medical history, is preserved. </w:t>
      </w:r>
      <w:r>
        <w:br/>
      </w:r>
      <w:r>
        <w:rPr>
          <w:rFonts w:ascii="Times New Roman"/>
          <w:b w:val="false"/>
          <w:i w:val="false"/>
          <w:color w:val="000000"/>
          <w:sz w:val="28"/>
        </w:rPr>
        <w:t>
</w:t>
      </w:r>
      <w:r>
        <w:rPr>
          <w:rFonts w:ascii="Times New Roman"/>
          <w:b w:val="false"/>
          <w:i w:val="false"/>
          <w:color w:val="000000"/>
          <w:sz w:val="28"/>
        </w:rPr>
        <w:t xml:space="preserve">
      (2) They shall ensure that the child or his or her representative has access to such information, under appropriate guidance, in so far as is permitted by the law of that State. </w:t>
      </w:r>
    </w:p>
    <w:bookmarkEnd w:id="68"/>
    <w:bookmarkStart w:name="z139" w:id="69"/>
    <w:p>
      <w:pPr>
        <w:spacing w:after="0"/>
        <w:ind w:left="0"/>
        <w:jc w:val="left"/>
      </w:pPr>
      <w:r>
        <w:rPr>
          <w:rFonts w:ascii="Times New Roman"/>
          <w:b/>
          <w:i w:val="false"/>
          <w:color w:val="000000"/>
        </w:rPr>
        <w:t xml:space="preserve"> 
Article 31 </w:t>
      </w:r>
    </w:p>
    <w:bookmarkEnd w:id="69"/>
    <w:bookmarkStart w:name="z140" w:id="70"/>
    <w:p>
      <w:pPr>
        <w:spacing w:after="0"/>
        <w:ind w:left="0"/>
        <w:jc w:val="both"/>
      </w:pPr>
      <w:r>
        <w:rPr>
          <w:rFonts w:ascii="Times New Roman"/>
          <w:b w:val="false"/>
          <w:i w:val="false"/>
          <w:color w:val="000000"/>
          <w:sz w:val="28"/>
        </w:rPr>
        <w:t>
      Without prejudice to Article 30, personal data gathered or transmitted under the Convention, especially data referred to in </w:t>
      </w:r>
      <w:r>
        <w:rPr>
          <w:rFonts w:ascii="Times New Roman"/>
          <w:b w:val="false"/>
          <w:i w:val="false"/>
          <w:color w:val="000000"/>
          <w:sz w:val="28"/>
        </w:rPr>
        <w:t>Articles 15</w:t>
      </w:r>
      <w:r>
        <w:rPr>
          <w:rFonts w:ascii="Times New Roman"/>
          <w:b w:val="false"/>
          <w:i w:val="false"/>
          <w:color w:val="000000"/>
          <w:sz w:val="28"/>
        </w:rPr>
        <w:t xml:space="preserve"> and </w:t>
      </w:r>
      <w:r>
        <w:rPr>
          <w:rFonts w:ascii="Times New Roman"/>
          <w:b w:val="false"/>
          <w:i w:val="false"/>
          <w:color w:val="000000"/>
          <w:sz w:val="28"/>
        </w:rPr>
        <w:t>16</w:t>
      </w:r>
      <w:r>
        <w:rPr>
          <w:rFonts w:ascii="Times New Roman"/>
          <w:b w:val="false"/>
          <w:i w:val="false"/>
          <w:color w:val="000000"/>
          <w:sz w:val="28"/>
        </w:rPr>
        <w:t xml:space="preserve">, shall be used only for the purposes for which they were gathered or transmitted. </w:t>
      </w:r>
    </w:p>
    <w:bookmarkEnd w:id="70"/>
    <w:bookmarkStart w:name="z141" w:id="71"/>
    <w:p>
      <w:pPr>
        <w:spacing w:after="0"/>
        <w:ind w:left="0"/>
        <w:jc w:val="left"/>
      </w:pPr>
      <w:r>
        <w:rPr>
          <w:rFonts w:ascii="Times New Roman"/>
          <w:b/>
          <w:i w:val="false"/>
          <w:color w:val="000000"/>
        </w:rPr>
        <w:t xml:space="preserve"> 
Article 32 </w:t>
      </w:r>
    </w:p>
    <w:bookmarkEnd w:id="71"/>
    <w:bookmarkStart w:name="z142" w:id="72"/>
    <w:p>
      <w:pPr>
        <w:spacing w:after="0"/>
        <w:ind w:left="0"/>
        <w:jc w:val="both"/>
      </w:pPr>
      <w:r>
        <w:rPr>
          <w:rFonts w:ascii="Times New Roman"/>
          <w:b w:val="false"/>
          <w:i w:val="false"/>
          <w:color w:val="000000"/>
          <w:sz w:val="28"/>
        </w:rPr>
        <w:t xml:space="preserve">
      (1) No one shall derive improper financial or other gain from an activity related to an intercountry adoption. </w:t>
      </w:r>
      <w:r>
        <w:br/>
      </w:r>
      <w:r>
        <w:rPr>
          <w:rFonts w:ascii="Times New Roman"/>
          <w:b w:val="false"/>
          <w:i w:val="false"/>
          <w:color w:val="000000"/>
          <w:sz w:val="28"/>
        </w:rPr>
        <w:t>
</w:t>
      </w:r>
      <w:r>
        <w:rPr>
          <w:rFonts w:ascii="Times New Roman"/>
          <w:b w:val="false"/>
          <w:i w:val="false"/>
          <w:color w:val="000000"/>
          <w:sz w:val="28"/>
        </w:rPr>
        <w:t xml:space="preserve">
      (2) Only costs and expenses, including reasonable professional fees of persons involved in the adoption, may be charged or paid. </w:t>
      </w:r>
      <w:r>
        <w:br/>
      </w:r>
      <w:r>
        <w:rPr>
          <w:rFonts w:ascii="Times New Roman"/>
          <w:b w:val="false"/>
          <w:i w:val="false"/>
          <w:color w:val="000000"/>
          <w:sz w:val="28"/>
        </w:rPr>
        <w:t>
</w:t>
      </w:r>
      <w:r>
        <w:rPr>
          <w:rFonts w:ascii="Times New Roman"/>
          <w:b w:val="false"/>
          <w:i w:val="false"/>
          <w:color w:val="000000"/>
          <w:sz w:val="28"/>
        </w:rPr>
        <w:t xml:space="preserve">
      (3) The directors, administrators and employees of bodies involved in an adoption shall not receive remuneration which is unreasonably high in relation to services rendered. </w:t>
      </w:r>
    </w:p>
    <w:bookmarkEnd w:id="72"/>
    <w:bookmarkStart w:name="z145" w:id="73"/>
    <w:p>
      <w:pPr>
        <w:spacing w:after="0"/>
        <w:ind w:left="0"/>
        <w:jc w:val="left"/>
      </w:pPr>
      <w:r>
        <w:rPr>
          <w:rFonts w:ascii="Times New Roman"/>
          <w:b/>
          <w:i w:val="false"/>
          <w:color w:val="000000"/>
        </w:rPr>
        <w:t xml:space="preserve"> 
Article 33 </w:t>
      </w:r>
    </w:p>
    <w:bookmarkEnd w:id="73"/>
    <w:bookmarkStart w:name="z146" w:id="74"/>
    <w:p>
      <w:pPr>
        <w:spacing w:after="0"/>
        <w:ind w:left="0"/>
        <w:jc w:val="both"/>
      </w:pPr>
      <w:r>
        <w:rPr>
          <w:rFonts w:ascii="Times New Roman"/>
          <w:b w:val="false"/>
          <w:i w:val="false"/>
          <w:color w:val="000000"/>
          <w:sz w:val="28"/>
        </w:rPr>
        <w:t xml:space="preserve">
      A competent authority which finds that any provision of the Convention has not been respected or that there is a serious risk that it may not be respected, shall immediately inform the Central Authority of its State. This Central Authority shall be responsible for ensuring that appropriate measures are taken. </w:t>
      </w:r>
    </w:p>
    <w:bookmarkEnd w:id="74"/>
    <w:bookmarkStart w:name="z147" w:id="75"/>
    <w:p>
      <w:pPr>
        <w:spacing w:after="0"/>
        <w:ind w:left="0"/>
        <w:jc w:val="left"/>
      </w:pPr>
      <w:r>
        <w:rPr>
          <w:rFonts w:ascii="Times New Roman"/>
          <w:b/>
          <w:i w:val="false"/>
          <w:color w:val="000000"/>
        </w:rPr>
        <w:t xml:space="preserve"> 
Article 34 </w:t>
      </w:r>
    </w:p>
    <w:bookmarkEnd w:id="75"/>
    <w:bookmarkStart w:name="z148" w:id="76"/>
    <w:p>
      <w:pPr>
        <w:spacing w:after="0"/>
        <w:ind w:left="0"/>
        <w:jc w:val="both"/>
      </w:pPr>
      <w:r>
        <w:rPr>
          <w:rFonts w:ascii="Times New Roman"/>
          <w:b w:val="false"/>
          <w:i w:val="false"/>
          <w:color w:val="000000"/>
          <w:sz w:val="28"/>
        </w:rPr>
        <w:t xml:space="preserve">
      If the competent authority of the State of destination of a document so requests, a translation certified as being in conformity with the original must be furnished. Unless otherwise provided, the costs of such translation are to be borne by the prospective adoptive parents. </w:t>
      </w:r>
    </w:p>
    <w:bookmarkEnd w:id="76"/>
    <w:bookmarkStart w:name="z149" w:id="77"/>
    <w:p>
      <w:pPr>
        <w:spacing w:after="0"/>
        <w:ind w:left="0"/>
        <w:jc w:val="left"/>
      </w:pPr>
      <w:r>
        <w:rPr>
          <w:rFonts w:ascii="Times New Roman"/>
          <w:b/>
          <w:i w:val="false"/>
          <w:color w:val="000000"/>
        </w:rPr>
        <w:t xml:space="preserve"> 
Article 35 </w:t>
      </w:r>
    </w:p>
    <w:bookmarkEnd w:id="77"/>
    <w:bookmarkStart w:name="z150" w:id="78"/>
    <w:p>
      <w:pPr>
        <w:spacing w:after="0"/>
        <w:ind w:left="0"/>
        <w:jc w:val="both"/>
      </w:pPr>
      <w:r>
        <w:rPr>
          <w:rFonts w:ascii="Times New Roman"/>
          <w:b w:val="false"/>
          <w:i w:val="false"/>
          <w:color w:val="000000"/>
          <w:sz w:val="28"/>
        </w:rPr>
        <w:t xml:space="preserve">
      The competent authorities of the Contracting States shall act expeditiously in the process of adoption. </w:t>
      </w:r>
    </w:p>
    <w:bookmarkEnd w:id="78"/>
    <w:bookmarkStart w:name="z151" w:id="79"/>
    <w:p>
      <w:pPr>
        <w:spacing w:after="0"/>
        <w:ind w:left="0"/>
        <w:jc w:val="left"/>
      </w:pPr>
      <w:r>
        <w:rPr>
          <w:rFonts w:ascii="Times New Roman"/>
          <w:b/>
          <w:i w:val="false"/>
          <w:color w:val="000000"/>
        </w:rPr>
        <w:t xml:space="preserve"> 
Article 36 </w:t>
      </w:r>
    </w:p>
    <w:bookmarkEnd w:id="79"/>
    <w:bookmarkStart w:name="z152" w:id="80"/>
    <w:p>
      <w:pPr>
        <w:spacing w:after="0"/>
        <w:ind w:left="0"/>
        <w:jc w:val="both"/>
      </w:pPr>
      <w:r>
        <w:rPr>
          <w:rFonts w:ascii="Times New Roman"/>
          <w:b w:val="false"/>
          <w:i w:val="false"/>
          <w:color w:val="000000"/>
          <w:sz w:val="28"/>
        </w:rPr>
        <w:t xml:space="preserve">
      In relation to a State which has two or more systems of law with regard to adoption applicable in different territorial units - </w:t>
      </w:r>
      <w:r>
        <w:br/>
      </w:r>
      <w:r>
        <w:rPr>
          <w:rFonts w:ascii="Times New Roman"/>
          <w:b w:val="false"/>
          <w:i w:val="false"/>
          <w:color w:val="000000"/>
          <w:sz w:val="28"/>
        </w:rPr>
        <w:t>
</w:t>
      </w:r>
      <w:r>
        <w:rPr>
          <w:rFonts w:ascii="Times New Roman"/>
          <w:b w:val="false"/>
          <w:i w:val="false"/>
          <w:color w:val="000000"/>
          <w:sz w:val="28"/>
        </w:rPr>
        <w:t xml:space="preserve">
      a) any reference to habitual residence in that State shall be construed as referring to habitual residence in a territorial unit of that State; </w:t>
      </w:r>
      <w:r>
        <w:br/>
      </w:r>
      <w:r>
        <w:rPr>
          <w:rFonts w:ascii="Times New Roman"/>
          <w:b w:val="false"/>
          <w:i w:val="false"/>
          <w:color w:val="000000"/>
          <w:sz w:val="28"/>
        </w:rPr>
        <w:t>
</w:t>
      </w:r>
      <w:r>
        <w:rPr>
          <w:rFonts w:ascii="Times New Roman"/>
          <w:b w:val="false"/>
          <w:i w:val="false"/>
          <w:color w:val="000000"/>
          <w:sz w:val="28"/>
        </w:rPr>
        <w:t>
      b) any reference to the law of that State shall be construed as referring to the law in force in the relevant territorial unit;</w:t>
      </w:r>
      <w:r>
        <w:br/>
      </w:r>
      <w:r>
        <w:rPr>
          <w:rFonts w:ascii="Times New Roman"/>
          <w:b w:val="false"/>
          <w:i w:val="false"/>
          <w:color w:val="000000"/>
          <w:sz w:val="28"/>
        </w:rPr>
        <w:t>
</w:t>
      </w:r>
      <w:r>
        <w:rPr>
          <w:rFonts w:ascii="Times New Roman"/>
          <w:b w:val="false"/>
          <w:i w:val="false"/>
          <w:color w:val="000000"/>
          <w:sz w:val="28"/>
        </w:rPr>
        <w:t xml:space="preserve">
      c) any reference to the competent authorities or to the public authorities of that State shall be construed as referring to those authorised to act in the relevant territorial unit; </w:t>
      </w:r>
      <w:r>
        <w:br/>
      </w:r>
      <w:r>
        <w:rPr>
          <w:rFonts w:ascii="Times New Roman"/>
          <w:b w:val="false"/>
          <w:i w:val="false"/>
          <w:color w:val="000000"/>
          <w:sz w:val="28"/>
        </w:rPr>
        <w:t>
</w:t>
      </w:r>
      <w:r>
        <w:rPr>
          <w:rFonts w:ascii="Times New Roman"/>
          <w:b w:val="false"/>
          <w:i w:val="false"/>
          <w:color w:val="000000"/>
          <w:sz w:val="28"/>
        </w:rPr>
        <w:t xml:space="preserve">
      d) any reference to the accredited bodies of that State shall be construed as referring to bodies accredited in the relevant territorial unit. </w:t>
      </w:r>
    </w:p>
    <w:bookmarkEnd w:id="80"/>
    <w:bookmarkStart w:name="z157" w:id="81"/>
    <w:p>
      <w:pPr>
        <w:spacing w:after="0"/>
        <w:ind w:left="0"/>
        <w:jc w:val="left"/>
      </w:pPr>
      <w:r>
        <w:rPr>
          <w:rFonts w:ascii="Times New Roman"/>
          <w:b/>
          <w:i w:val="false"/>
          <w:color w:val="000000"/>
        </w:rPr>
        <w:t xml:space="preserve"> 
Article 37 </w:t>
      </w:r>
    </w:p>
    <w:bookmarkEnd w:id="81"/>
    <w:bookmarkStart w:name="z158" w:id="82"/>
    <w:p>
      <w:pPr>
        <w:spacing w:after="0"/>
        <w:ind w:left="0"/>
        <w:jc w:val="both"/>
      </w:pPr>
      <w:r>
        <w:rPr>
          <w:rFonts w:ascii="Times New Roman"/>
          <w:b w:val="false"/>
          <w:i w:val="false"/>
          <w:color w:val="000000"/>
          <w:sz w:val="28"/>
        </w:rPr>
        <w:t xml:space="preserve">
      In relation to a State which with regard to adoption has two or more systems of law applicable to different categories of persons, any reference to the law of that State shall be construed as referring to the legal system specified by the law of that State. </w:t>
      </w:r>
    </w:p>
    <w:bookmarkEnd w:id="82"/>
    <w:bookmarkStart w:name="z159" w:id="83"/>
    <w:p>
      <w:pPr>
        <w:spacing w:after="0"/>
        <w:ind w:left="0"/>
        <w:jc w:val="left"/>
      </w:pPr>
      <w:r>
        <w:rPr>
          <w:rFonts w:ascii="Times New Roman"/>
          <w:b/>
          <w:i w:val="false"/>
          <w:color w:val="000000"/>
        </w:rPr>
        <w:t xml:space="preserve"> 
Article 38 </w:t>
      </w:r>
    </w:p>
    <w:bookmarkEnd w:id="83"/>
    <w:bookmarkStart w:name="z160" w:id="84"/>
    <w:p>
      <w:pPr>
        <w:spacing w:after="0"/>
        <w:ind w:left="0"/>
        <w:jc w:val="both"/>
      </w:pPr>
      <w:r>
        <w:rPr>
          <w:rFonts w:ascii="Times New Roman"/>
          <w:b w:val="false"/>
          <w:i w:val="false"/>
          <w:color w:val="000000"/>
          <w:sz w:val="28"/>
        </w:rPr>
        <w:t xml:space="preserve">
      A State within which different territorial units have their own rules of law in respect of adoption shall not be bound to apply the Convention where a State with a unified system of law would not be bound to do so. </w:t>
      </w:r>
    </w:p>
    <w:bookmarkEnd w:id="84"/>
    <w:bookmarkStart w:name="z161" w:id="85"/>
    <w:p>
      <w:pPr>
        <w:spacing w:after="0"/>
        <w:ind w:left="0"/>
        <w:jc w:val="left"/>
      </w:pPr>
      <w:r>
        <w:rPr>
          <w:rFonts w:ascii="Times New Roman"/>
          <w:b/>
          <w:i w:val="false"/>
          <w:color w:val="000000"/>
        </w:rPr>
        <w:t xml:space="preserve"> 
Article 39 </w:t>
      </w:r>
    </w:p>
    <w:bookmarkEnd w:id="85"/>
    <w:bookmarkStart w:name="z162" w:id="86"/>
    <w:p>
      <w:pPr>
        <w:spacing w:after="0"/>
        <w:ind w:left="0"/>
        <w:jc w:val="both"/>
      </w:pPr>
      <w:r>
        <w:rPr>
          <w:rFonts w:ascii="Times New Roman"/>
          <w:b w:val="false"/>
          <w:i w:val="false"/>
          <w:color w:val="000000"/>
          <w:sz w:val="28"/>
        </w:rPr>
        <w:t xml:space="preserve">
      (1) The Convention does not affect any international instrument to which Contracting States are Parties and which contains provisions on matters governed by the Convention, unless a contrary declaration is made by the States Parties to such instrument. </w:t>
      </w:r>
      <w:r>
        <w:br/>
      </w:r>
      <w:r>
        <w:rPr>
          <w:rFonts w:ascii="Times New Roman"/>
          <w:b w:val="false"/>
          <w:i w:val="false"/>
          <w:color w:val="000000"/>
          <w:sz w:val="28"/>
        </w:rPr>
        <w:t>
</w:t>
      </w:r>
      <w:r>
        <w:rPr>
          <w:rFonts w:ascii="Times New Roman"/>
          <w:b w:val="false"/>
          <w:i w:val="false"/>
          <w:color w:val="000000"/>
          <w:sz w:val="28"/>
        </w:rPr>
        <w:t>
      (2) Any Contracting State may enter into agreements with one or more other Contracting States, with a view to improving the application of the Convention in their mutual relations. These agreements may derogate only from the provisions of </w:t>
      </w:r>
      <w:r>
        <w:rPr>
          <w:rFonts w:ascii="Times New Roman"/>
          <w:b w:val="false"/>
          <w:i w:val="false"/>
          <w:color w:val="000000"/>
          <w:sz w:val="28"/>
        </w:rPr>
        <w:t>Articles 14</w:t>
      </w:r>
      <w:r>
        <w:rPr>
          <w:rFonts w:ascii="Times New Roman"/>
          <w:b w:val="false"/>
          <w:i w:val="false"/>
          <w:color w:val="000000"/>
          <w:sz w:val="28"/>
        </w:rPr>
        <w:t xml:space="preserve"> to 16 and </w:t>
      </w:r>
      <w:r>
        <w:rPr>
          <w:rFonts w:ascii="Times New Roman"/>
          <w:b w:val="false"/>
          <w:i w:val="false"/>
          <w:color w:val="000000"/>
          <w:sz w:val="28"/>
        </w:rPr>
        <w:t>18</w:t>
      </w:r>
      <w:r>
        <w:rPr>
          <w:rFonts w:ascii="Times New Roman"/>
          <w:b w:val="false"/>
          <w:i w:val="false"/>
          <w:color w:val="000000"/>
          <w:sz w:val="28"/>
        </w:rPr>
        <w:t xml:space="preserve"> to 21. The States which have concluded such an agreement shall transmit a copy to the depositary of the Convention. </w:t>
      </w:r>
    </w:p>
    <w:bookmarkEnd w:id="86"/>
    <w:bookmarkStart w:name="z164" w:id="87"/>
    <w:p>
      <w:pPr>
        <w:spacing w:after="0"/>
        <w:ind w:left="0"/>
        <w:jc w:val="left"/>
      </w:pPr>
      <w:r>
        <w:rPr>
          <w:rFonts w:ascii="Times New Roman"/>
          <w:b/>
          <w:i w:val="false"/>
          <w:color w:val="000000"/>
        </w:rPr>
        <w:t xml:space="preserve"> 
Article 40 </w:t>
      </w:r>
    </w:p>
    <w:bookmarkEnd w:id="87"/>
    <w:bookmarkStart w:name="z165" w:id="88"/>
    <w:p>
      <w:pPr>
        <w:spacing w:after="0"/>
        <w:ind w:left="0"/>
        <w:jc w:val="both"/>
      </w:pPr>
      <w:r>
        <w:rPr>
          <w:rFonts w:ascii="Times New Roman"/>
          <w:b w:val="false"/>
          <w:i w:val="false"/>
          <w:color w:val="000000"/>
          <w:sz w:val="28"/>
        </w:rPr>
        <w:t xml:space="preserve">
      No reservation to the Convention shall be permitted. </w:t>
      </w:r>
    </w:p>
    <w:bookmarkEnd w:id="88"/>
    <w:bookmarkStart w:name="z166" w:id="89"/>
    <w:p>
      <w:pPr>
        <w:spacing w:after="0"/>
        <w:ind w:left="0"/>
        <w:jc w:val="left"/>
      </w:pPr>
      <w:r>
        <w:rPr>
          <w:rFonts w:ascii="Times New Roman"/>
          <w:b/>
          <w:i w:val="false"/>
          <w:color w:val="000000"/>
        </w:rPr>
        <w:t xml:space="preserve"> 
Article 41 </w:t>
      </w:r>
    </w:p>
    <w:bookmarkEnd w:id="89"/>
    <w:bookmarkStart w:name="z167" w:id="90"/>
    <w:p>
      <w:pPr>
        <w:spacing w:after="0"/>
        <w:ind w:left="0"/>
        <w:jc w:val="both"/>
      </w:pPr>
      <w:r>
        <w:rPr>
          <w:rFonts w:ascii="Times New Roman"/>
          <w:b w:val="false"/>
          <w:i w:val="false"/>
          <w:color w:val="000000"/>
          <w:sz w:val="28"/>
        </w:rPr>
        <w:t>
      The Convention shall apply in every case where an application pursuant to </w:t>
      </w:r>
      <w:r>
        <w:rPr>
          <w:rFonts w:ascii="Times New Roman"/>
          <w:b w:val="false"/>
          <w:i w:val="false"/>
          <w:color w:val="000000"/>
          <w:sz w:val="28"/>
        </w:rPr>
        <w:t>Article 14</w:t>
      </w:r>
      <w:r>
        <w:rPr>
          <w:rFonts w:ascii="Times New Roman"/>
          <w:b w:val="false"/>
          <w:i w:val="false"/>
          <w:color w:val="000000"/>
          <w:sz w:val="28"/>
        </w:rPr>
        <w:t xml:space="preserve"> has been received after the Convention has entered into force in the receiving State and the State of origin. </w:t>
      </w:r>
    </w:p>
    <w:bookmarkEnd w:id="90"/>
    <w:bookmarkStart w:name="z168" w:id="91"/>
    <w:p>
      <w:pPr>
        <w:spacing w:after="0"/>
        <w:ind w:left="0"/>
        <w:jc w:val="left"/>
      </w:pPr>
      <w:r>
        <w:rPr>
          <w:rFonts w:ascii="Times New Roman"/>
          <w:b/>
          <w:i w:val="false"/>
          <w:color w:val="000000"/>
        </w:rPr>
        <w:t xml:space="preserve"> 
Article 42 </w:t>
      </w:r>
    </w:p>
    <w:bookmarkEnd w:id="91"/>
    <w:bookmarkStart w:name="z169" w:id="92"/>
    <w:p>
      <w:pPr>
        <w:spacing w:after="0"/>
        <w:ind w:left="0"/>
        <w:jc w:val="both"/>
      </w:pPr>
      <w:r>
        <w:rPr>
          <w:rFonts w:ascii="Times New Roman"/>
          <w:b w:val="false"/>
          <w:i w:val="false"/>
          <w:color w:val="000000"/>
          <w:sz w:val="28"/>
        </w:rPr>
        <w:t xml:space="preserve">
      The Secretary General of the Hague Conference on Private International Law shall at regular intervals convene a Special Commission in order to review the practical operation of the Convention. </w:t>
      </w:r>
    </w:p>
    <w:bookmarkEnd w:id="92"/>
    <w:bookmarkStart w:name="z170" w:id="93"/>
    <w:p>
      <w:pPr>
        <w:spacing w:after="0"/>
        <w:ind w:left="0"/>
        <w:jc w:val="left"/>
      </w:pPr>
      <w:r>
        <w:rPr>
          <w:rFonts w:ascii="Times New Roman"/>
          <w:b/>
          <w:i w:val="false"/>
          <w:color w:val="000000"/>
        </w:rPr>
        <w:t xml:space="preserve"> 
chapter vii - final clauses </w:t>
      </w:r>
    </w:p>
    <w:bookmarkEnd w:id="93"/>
    <w:bookmarkStart w:name="z171" w:id="94"/>
    <w:p>
      <w:pPr>
        <w:spacing w:after="0"/>
        <w:ind w:left="0"/>
        <w:jc w:val="left"/>
      </w:pPr>
      <w:r>
        <w:rPr>
          <w:rFonts w:ascii="Times New Roman"/>
          <w:b/>
          <w:i w:val="false"/>
          <w:color w:val="000000"/>
        </w:rPr>
        <w:t xml:space="preserve"> 
Article 43 </w:t>
      </w:r>
    </w:p>
    <w:bookmarkEnd w:id="94"/>
    <w:bookmarkStart w:name="z172" w:id="95"/>
    <w:p>
      <w:pPr>
        <w:spacing w:after="0"/>
        <w:ind w:left="0"/>
        <w:jc w:val="both"/>
      </w:pPr>
      <w:r>
        <w:rPr>
          <w:rFonts w:ascii="Times New Roman"/>
          <w:b w:val="false"/>
          <w:i w:val="false"/>
          <w:color w:val="000000"/>
          <w:sz w:val="28"/>
        </w:rPr>
        <w:t xml:space="preserve">
      (1) The Convention shall be open for signature by the States which were Members of the Hague Conference on Private International Law at the time of its Seventeenth Session and by the other States which participated in that Session. </w:t>
      </w:r>
      <w:r>
        <w:br/>
      </w:r>
      <w:r>
        <w:rPr>
          <w:rFonts w:ascii="Times New Roman"/>
          <w:b w:val="false"/>
          <w:i w:val="false"/>
          <w:color w:val="000000"/>
          <w:sz w:val="28"/>
        </w:rPr>
        <w:t>
</w:t>
      </w:r>
      <w:r>
        <w:rPr>
          <w:rFonts w:ascii="Times New Roman"/>
          <w:b w:val="false"/>
          <w:i w:val="false"/>
          <w:color w:val="000000"/>
          <w:sz w:val="28"/>
        </w:rPr>
        <w:t xml:space="preserve">
      (2) It shall be ratified, accepted or approved and the instruments of ratification, acceptance or approval shall be deposited with the Ministry of Foreign Affairs of the Kingdom of the Netherlands, depositary of the Convention. </w:t>
      </w:r>
    </w:p>
    <w:bookmarkEnd w:id="95"/>
    <w:bookmarkStart w:name="z174" w:id="96"/>
    <w:p>
      <w:pPr>
        <w:spacing w:after="0"/>
        <w:ind w:left="0"/>
        <w:jc w:val="left"/>
      </w:pPr>
      <w:r>
        <w:rPr>
          <w:rFonts w:ascii="Times New Roman"/>
          <w:b/>
          <w:i w:val="false"/>
          <w:color w:val="000000"/>
        </w:rPr>
        <w:t xml:space="preserve"> 
Article 44 </w:t>
      </w:r>
    </w:p>
    <w:bookmarkEnd w:id="96"/>
    <w:bookmarkStart w:name="z175" w:id="97"/>
    <w:p>
      <w:pPr>
        <w:spacing w:after="0"/>
        <w:ind w:left="0"/>
        <w:jc w:val="both"/>
      </w:pPr>
      <w:r>
        <w:rPr>
          <w:rFonts w:ascii="Times New Roman"/>
          <w:b w:val="false"/>
          <w:i w:val="false"/>
          <w:color w:val="000000"/>
          <w:sz w:val="28"/>
        </w:rPr>
        <w:t xml:space="preserve">
      (1) Any other State may accede to the Convention after it has entered into force in accordance with Article 46, paragraph 1. </w:t>
      </w:r>
      <w:r>
        <w:br/>
      </w:r>
      <w:r>
        <w:rPr>
          <w:rFonts w:ascii="Times New Roman"/>
          <w:b w:val="false"/>
          <w:i w:val="false"/>
          <w:color w:val="000000"/>
          <w:sz w:val="28"/>
        </w:rPr>
        <w:t>
</w:t>
      </w:r>
      <w:r>
        <w:rPr>
          <w:rFonts w:ascii="Times New Roman"/>
          <w:b w:val="false"/>
          <w:i w:val="false"/>
          <w:color w:val="000000"/>
          <w:sz w:val="28"/>
        </w:rPr>
        <w:t xml:space="preserve">
      (2) The instrument of accession shall be deposited with the depositary. </w:t>
      </w:r>
      <w:r>
        <w:br/>
      </w:r>
      <w:r>
        <w:rPr>
          <w:rFonts w:ascii="Times New Roman"/>
          <w:b w:val="false"/>
          <w:i w:val="false"/>
          <w:color w:val="000000"/>
          <w:sz w:val="28"/>
        </w:rPr>
        <w:t>
</w:t>
      </w:r>
      <w:r>
        <w:rPr>
          <w:rFonts w:ascii="Times New Roman"/>
          <w:b w:val="false"/>
          <w:i w:val="false"/>
          <w:color w:val="000000"/>
          <w:sz w:val="28"/>
        </w:rPr>
        <w:t>
      (3) Such accession shall have effect only as regards the relations between the acceding State and those Contracting States which have not raised an objection to its accession in the six months after the receipt of the notification referred to in </w:t>
      </w:r>
      <w:r>
        <w:rPr>
          <w:rFonts w:ascii="Times New Roman"/>
          <w:b w:val="false"/>
          <w:i w:val="false"/>
          <w:color w:val="000000"/>
          <w:sz w:val="28"/>
        </w:rPr>
        <w:t>sub-paragraph b)</w:t>
      </w:r>
      <w:r>
        <w:rPr>
          <w:rFonts w:ascii="Times New Roman"/>
          <w:b w:val="false"/>
          <w:i w:val="false"/>
          <w:color w:val="000000"/>
          <w:sz w:val="28"/>
        </w:rPr>
        <w:t xml:space="preserve"> of Article 48. Such an objection may also be raised by States at the time when they ratify, accept or approve the Convention after an accession. Any such objection shall be notified to the depositary. </w:t>
      </w:r>
    </w:p>
    <w:bookmarkEnd w:id="97"/>
    <w:bookmarkStart w:name="z178" w:id="98"/>
    <w:p>
      <w:pPr>
        <w:spacing w:after="0"/>
        <w:ind w:left="0"/>
        <w:jc w:val="left"/>
      </w:pPr>
      <w:r>
        <w:rPr>
          <w:rFonts w:ascii="Times New Roman"/>
          <w:b/>
          <w:i w:val="false"/>
          <w:color w:val="000000"/>
        </w:rPr>
        <w:t xml:space="preserve"> 
Article 45 </w:t>
      </w:r>
    </w:p>
    <w:bookmarkEnd w:id="98"/>
    <w:bookmarkStart w:name="z179" w:id="99"/>
    <w:p>
      <w:pPr>
        <w:spacing w:after="0"/>
        <w:ind w:left="0"/>
        <w:jc w:val="both"/>
      </w:pPr>
      <w:r>
        <w:rPr>
          <w:rFonts w:ascii="Times New Roman"/>
          <w:b w:val="false"/>
          <w:i w:val="false"/>
          <w:color w:val="000000"/>
          <w:sz w:val="28"/>
        </w:rPr>
        <w:t xml:space="preserve">
      (1) If a State has two or more territorial units in which different systems of law are applicable in relation to matters dealt with in the Convention, it may at the time of signature, ratification, acceptance, approval or accession declare that this Convention shall extend to all its territorial units or only to one or more of them and may modify this declaration by submitting another declaration at any time. </w:t>
      </w:r>
      <w:r>
        <w:br/>
      </w:r>
      <w:r>
        <w:rPr>
          <w:rFonts w:ascii="Times New Roman"/>
          <w:b w:val="false"/>
          <w:i w:val="false"/>
          <w:color w:val="000000"/>
          <w:sz w:val="28"/>
        </w:rPr>
        <w:t>
</w:t>
      </w:r>
      <w:r>
        <w:rPr>
          <w:rFonts w:ascii="Times New Roman"/>
          <w:b w:val="false"/>
          <w:i w:val="false"/>
          <w:color w:val="000000"/>
          <w:sz w:val="28"/>
        </w:rPr>
        <w:t xml:space="preserve">
      (2) Any such declaration shall be notified to the depositary and shall state expressly the territorial units to which the Convention applies. </w:t>
      </w:r>
      <w:r>
        <w:br/>
      </w:r>
      <w:r>
        <w:rPr>
          <w:rFonts w:ascii="Times New Roman"/>
          <w:b w:val="false"/>
          <w:i w:val="false"/>
          <w:color w:val="000000"/>
          <w:sz w:val="28"/>
        </w:rPr>
        <w:t>
</w:t>
      </w:r>
      <w:r>
        <w:rPr>
          <w:rFonts w:ascii="Times New Roman"/>
          <w:b w:val="false"/>
          <w:i w:val="false"/>
          <w:color w:val="000000"/>
          <w:sz w:val="28"/>
        </w:rPr>
        <w:t xml:space="preserve">
      (3) If a State makes no declaration under this Article, the Convention is to extend to all territorial units of that State. </w:t>
      </w:r>
    </w:p>
    <w:bookmarkEnd w:id="99"/>
    <w:bookmarkStart w:name="z182" w:id="100"/>
    <w:p>
      <w:pPr>
        <w:spacing w:after="0"/>
        <w:ind w:left="0"/>
        <w:jc w:val="left"/>
      </w:pPr>
      <w:r>
        <w:rPr>
          <w:rFonts w:ascii="Times New Roman"/>
          <w:b/>
          <w:i w:val="false"/>
          <w:color w:val="000000"/>
        </w:rPr>
        <w:t xml:space="preserve"> 
Article 46 </w:t>
      </w:r>
    </w:p>
    <w:bookmarkEnd w:id="100"/>
    <w:bookmarkStart w:name="z183" w:id="101"/>
    <w:p>
      <w:pPr>
        <w:spacing w:after="0"/>
        <w:ind w:left="0"/>
        <w:jc w:val="both"/>
      </w:pPr>
      <w:r>
        <w:rPr>
          <w:rFonts w:ascii="Times New Roman"/>
          <w:b w:val="false"/>
          <w:i w:val="false"/>
          <w:color w:val="000000"/>
          <w:sz w:val="28"/>
        </w:rPr>
        <w:t>
      (1) The Convention shall enter into force on the first day of the month following the expiration of three months after the deposit of the third instrument of ratification, acceptance or approval referred to in </w:t>
      </w:r>
      <w:r>
        <w:rPr>
          <w:rFonts w:ascii="Times New Roman"/>
          <w:b w:val="false"/>
          <w:i w:val="false"/>
          <w:color w:val="000000"/>
          <w:sz w:val="28"/>
        </w:rPr>
        <w:t>Article 43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Thereafter the Convention shall enter into force - </w:t>
      </w:r>
      <w:r>
        <w:br/>
      </w:r>
      <w:r>
        <w:rPr>
          <w:rFonts w:ascii="Times New Roman"/>
          <w:b w:val="false"/>
          <w:i w:val="false"/>
          <w:color w:val="000000"/>
          <w:sz w:val="28"/>
        </w:rPr>
        <w:t>
</w:t>
      </w:r>
      <w:r>
        <w:rPr>
          <w:rFonts w:ascii="Times New Roman"/>
          <w:b w:val="false"/>
          <w:i w:val="false"/>
          <w:color w:val="000000"/>
          <w:sz w:val="28"/>
        </w:rPr>
        <w:t xml:space="preserve">
      a) for each State ratifying, accepting or approving it subsequently, or acceding to it, on the first day of the month following the expiration of three months after the deposit of its instrument of ratification, acceptance, approval or accession; </w:t>
      </w:r>
      <w:r>
        <w:br/>
      </w:r>
      <w:r>
        <w:rPr>
          <w:rFonts w:ascii="Times New Roman"/>
          <w:b w:val="false"/>
          <w:i w:val="false"/>
          <w:color w:val="000000"/>
          <w:sz w:val="28"/>
        </w:rPr>
        <w:t>
</w:t>
      </w:r>
      <w:r>
        <w:rPr>
          <w:rFonts w:ascii="Times New Roman"/>
          <w:b w:val="false"/>
          <w:i w:val="false"/>
          <w:color w:val="000000"/>
          <w:sz w:val="28"/>
        </w:rPr>
        <w:t xml:space="preserve">
      b) for a territorial unit to which the Convention has been extended in conformity with Article 45, on the first day of the month following the expiration of three months after the notification referred to in that Article. </w:t>
      </w:r>
    </w:p>
    <w:bookmarkEnd w:id="101"/>
    <w:bookmarkStart w:name="z187" w:id="102"/>
    <w:p>
      <w:pPr>
        <w:spacing w:after="0"/>
        <w:ind w:left="0"/>
        <w:jc w:val="left"/>
      </w:pPr>
      <w:r>
        <w:rPr>
          <w:rFonts w:ascii="Times New Roman"/>
          <w:b/>
          <w:i w:val="false"/>
          <w:color w:val="000000"/>
        </w:rPr>
        <w:t xml:space="preserve"> 
Article 47 </w:t>
      </w:r>
    </w:p>
    <w:bookmarkEnd w:id="102"/>
    <w:bookmarkStart w:name="z188" w:id="103"/>
    <w:p>
      <w:pPr>
        <w:spacing w:after="0"/>
        <w:ind w:left="0"/>
        <w:jc w:val="both"/>
      </w:pPr>
      <w:r>
        <w:rPr>
          <w:rFonts w:ascii="Times New Roman"/>
          <w:b w:val="false"/>
          <w:i w:val="false"/>
          <w:color w:val="000000"/>
          <w:sz w:val="28"/>
        </w:rPr>
        <w:t xml:space="preserve">
      (1) A State Party to the Convention may denounce it by a notification in writing addressed to the depositary. </w:t>
      </w:r>
      <w:r>
        <w:br/>
      </w:r>
      <w:r>
        <w:rPr>
          <w:rFonts w:ascii="Times New Roman"/>
          <w:b w:val="false"/>
          <w:i w:val="false"/>
          <w:color w:val="000000"/>
          <w:sz w:val="28"/>
        </w:rPr>
        <w:t>
</w:t>
      </w:r>
      <w:r>
        <w:rPr>
          <w:rFonts w:ascii="Times New Roman"/>
          <w:b w:val="false"/>
          <w:i w:val="false"/>
          <w:color w:val="000000"/>
          <w:sz w:val="28"/>
        </w:rPr>
        <w:t xml:space="preserve">
      (2) The denunciation takes effect on the first day of the month following the expiration of twelve months after the notification is received by the depositary. Where a longer period for the denunciation to take effect is specified in the notification, the denunciation takes effect upon the expiration of such longer period after the notification is received by the depositary. </w:t>
      </w:r>
    </w:p>
    <w:bookmarkEnd w:id="103"/>
    <w:bookmarkStart w:name="z190" w:id="104"/>
    <w:p>
      <w:pPr>
        <w:spacing w:after="0"/>
        <w:ind w:left="0"/>
        <w:jc w:val="left"/>
      </w:pPr>
      <w:r>
        <w:rPr>
          <w:rFonts w:ascii="Times New Roman"/>
          <w:b/>
          <w:i w:val="false"/>
          <w:color w:val="000000"/>
        </w:rPr>
        <w:t xml:space="preserve"> 
Article 48 </w:t>
      </w:r>
    </w:p>
    <w:bookmarkEnd w:id="104"/>
    <w:bookmarkStart w:name="z191" w:id="105"/>
    <w:p>
      <w:pPr>
        <w:spacing w:after="0"/>
        <w:ind w:left="0"/>
        <w:jc w:val="both"/>
      </w:pPr>
      <w:r>
        <w:rPr>
          <w:rFonts w:ascii="Times New Roman"/>
          <w:b w:val="false"/>
          <w:i w:val="false"/>
          <w:color w:val="000000"/>
          <w:sz w:val="28"/>
        </w:rPr>
        <w:t>
      The depositary shall notify the States Members of the Hague Conference on Private International Law, the other States which participated in the Seventeenth Session and the States which have acceded in accordance with </w:t>
      </w:r>
      <w:r>
        <w:rPr>
          <w:rFonts w:ascii="Times New Roman"/>
          <w:b w:val="false"/>
          <w:i w:val="false"/>
          <w:color w:val="000000"/>
          <w:sz w:val="28"/>
        </w:rPr>
        <w:t>Article 44</w:t>
      </w:r>
      <w:r>
        <w:rPr>
          <w:rFonts w:ascii="Times New Roman"/>
          <w:b w:val="false"/>
          <w:i w:val="false"/>
          <w:color w:val="000000"/>
          <w:sz w:val="28"/>
        </w:rPr>
        <w:t xml:space="preserve">, of the following - </w:t>
      </w:r>
      <w:r>
        <w:br/>
      </w:r>
      <w:r>
        <w:rPr>
          <w:rFonts w:ascii="Times New Roman"/>
          <w:b w:val="false"/>
          <w:i w:val="false"/>
          <w:color w:val="000000"/>
          <w:sz w:val="28"/>
        </w:rPr>
        <w:t>
</w:t>
      </w:r>
      <w:r>
        <w:rPr>
          <w:rFonts w:ascii="Times New Roman"/>
          <w:b w:val="false"/>
          <w:i w:val="false"/>
          <w:color w:val="000000"/>
          <w:sz w:val="28"/>
        </w:rPr>
        <w:t>
      a) the signatures, ratifications, acceptances and approvals referred to in </w:t>
      </w:r>
      <w:r>
        <w:rPr>
          <w:rFonts w:ascii="Times New Roman"/>
          <w:b w:val="false"/>
          <w:i w:val="false"/>
          <w:color w:val="000000"/>
          <w:sz w:val="28"/>
        </w:rPr>
        <w:t>Article 43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b) the accessions and objections raised to accessions referred to in Article 44; </w:t>
      </w:r>
      <w:r>
        <w:br/>
      </w:r>
      <w:r>
        <w:rPr>
          <w:rFonts w:ascii="Times New Roman"/>
          <w:b w:val="false"/>
          <w:i w:val="false"/>
          <w:color w:val="000000"/>
          <w:sz w:val="28"/>
        </w:rPr>
        <w:t>
</w:t>
      </w:r>
      <w:r>
        <w:rPr>
          <w:rFonts w:ascii="Times New Roman"/>
          <w:b w:val="false"/>
          <w:i w:val="false"/>
          <w:color w:val="000000"/>
          <w:sz w:val="28"/>
        </w:rPr>
        <w:t xml:space="preserve">
      c) the date on which the Convention enters into force in accordance with Article 46; </w:t>
      </w:r>
      <w:r>
        <w:br/>
      </w:r>
      <w:r>
        <w:rPr>
          <w:rFonts w:ascii="Times New Roman"/>
          <w:b w:val="false"/>
          <w:i w:val="false"/>
          <w:color w:val="000000"/>
          <w:sz w:val="28"/>
        </w:rPr>
        <w:t>
</w:t>
      </w:r>
      <w:r>
        <w:rPr>
          <w:rFonts w:ascii="Times New Roman"/>
          <w:b w:val="false"/>
          <w:i w:val="false"/>
          <w:color w:val="000000"/>
          <w:sz w:val="28"/>
        </w:rPr>
        <w:t>
      d) the declarations and designations referred to in </w:t>
      </w:r>
      <w:r>
        <w:rPr>
          <w:rFonts w:ascii="Times New Roman"/>
          <w:b w:val="false"/>
          <w:i w:val="false"/>
          <w:color w:val="000000"/>
          <w:sz w:val="28"/>
        </w:rPr>
        <w:t>Articles 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and </w:t>
      </w:r>
      <w:r>
        <w:rPr>
          <w:rFonts w:ascii="Times New Roman"/>
          <w:b w:val="false"/>
          <w:i w:val="false"/>
          <w:color w:val="000000"/>
          <w:sz w:val="28"/>
        </w:rPr>
        <w:t>45</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e) the agreements referred to in </w:t>
      </w:r>
      <w:r>
        <w:rPr>
          <w:rFonts w:ascii="Times New Roman"/>
          <w:b w:val="false"/>
          <w:i w:val="false"/>
          <w:color w:val="000000"/>
          <w:sz w:val="28"/>
        </w:rPr>
        <w:t>Article 39</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f) the denunciations referred to in Article 47. </w:t>
      </w:r>
      <w:r>
        <w:br/>
      </w:r>
      <w:r>
        <w:rPr>
          <w:rFonts w:ascii="Times New Roman"/>
          <w:b w:val="false"/>
          <w:i w:val="false"/>
          <w:color w:val="000000"/>
          <w:sz w:val="28"/>
        </w:rPr>
        <w:t>
</w:t>
      </w:r>
      <w:r>
        <w:rPr>
          <w:rFonts w:ascii="Times New Roman"/>
          <w:b w:val="false"/>
          <w:i w:val="false"/>
          <w:color w:val="000000"/>
          <w:sz w:val="28"/>
        </w:rPr>
        <w:t xml:space="preserve">
      In witness whereof the undersigned, being duly authorised thereto, have signed this Convention. </w:t>
      </w:r>
      <w:r>
        <w:br/>
      </w:r>
      <w:r>
        <w:rPr>
          <w:rFonts w:ascii="Times New Roman"/>
          <w:b w:val="false"/>
          <w:i w:val="false"/>
          <w:color w:val="000000"/>
          <w:sz w:val="28"/>
        </w:rPr>
        <w:t>
</w:t>
      </w:r>
      <w:r>
        <w:rPr>
          <w:rFonts w:ascii="Times New Roman"/>
          <w:b w:val="false"/>
          <w:i w:val="false"/>
          <w:color w:val="000000"/>
          <w:sz w:val="28"/>
        </w:rPr>
        <w:t xml:space="preserve">
      Done at The Hague, on the 29th day of May 1993, in the English and French languages, both texts being equally authentic, in a single copy which shall be deposited in the archives of the Government of the Kingdom of the Netherlands, and of which a certified copy shall be sent, through diplomatic channels, to each of the States Members of the Hague Conference on Private International Law at the date of its Seventeenth Session and to each of the other States which participated in that Session. </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