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ae5a0" w14:textId="daae5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ratification of the Optional Protocol to the International Covenant on Civil and Political Rights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of 11 February 2009</w:t>
      </w:r>
    </w:p>
    <w:p>
      <w:pPr>
        <w:spacing w:after="0"/>
        <w:ind w:left="0"/>
        <w:jc w:val="both"/>
      </w:pPr>
      <w:bookmarkStart w:name="z1" w:id="0"/>
      <w:r>
        <w:rPr>
          <w:rFonts w:ascii="Times New Roman"/>
          <w:b w:val="false"/>
          <w:i w:val="false"/>
          <w:color w:val="000000"/>
          <w:sz w:val="28"/>
        </w:rPr>
        <w:t>
      To ratify the Optional Protocol to the International Covenant on Civil and Political Rights, concluded in New-York on 16 December 1966 signed by the Republic of Kazakhstan on 25 September 2007 with the following declaration:</w:t>
      </w:r>
      <w:r>
        <w:br/>
      </w:r>
      <w:r>
        <w:rPr>
          <w:rFonts w:ascii="Times New Roman"/>
          <w:b w:val="false"/>
          <w:i w:val="false"/>
          <w:color w:val="000000"/>
          <w:sz w:val="28"/>
        </w:rPr>
        <w:t>
</w:t>
      </w:r>
      <w:r>
        <w:rPr>
          <w:rFonts w:ascii="Times New Roman"/>
          <w:b w:val="false"/>
          <w:i w:val="false"/>
          <w:color w:val="000000"/>
          <w:sz w:val="28"/>
        </w:rPr>
        <w:t>
      «The Republic of Kazakhstan, in accordance with article 1 of the Optional Protocol to the International Covenant on Civil and Political Rights, recognizes the competence of the Human Rights Committee to receive and consider communications from individuals subject to the jurisdiction of the Republic of Kazakhstan concerning actions and omissions by the State authorities or acts or decisions adopted by them following the entry into force of this Optional Protocol in the Republic of Kazakhstan».</w:t>
      </w:r>
    </w:p>
    <w:bookmarkEnd w:id="0"/>
    <w:p>
      <w:pPr>
        <w:spacing w:after="0"/>
        <w:ind w:left="0"/>
        <w:jc w:val="both"/>
      </w:pPr>
      <w:r>
        <w:rPr>
          <w:rFonts w:ascii="Times New Roman"/>
          <w:b w:val="false"/>
          <w:i w:val="false"/>
          <w:color w:val="000000"/>
          <w:sz w:val="28"/>
        </w:rPr>
        <w:t xml:space="preserve">      President </w:t>
      </w:r>
      <w:r>
        <w:br/>
      </w:r>
      <w:r>
        <w:rPr>
          <w:rFonts w:ascii="Times New Roman"/>
          <w:b w:val="false"/>
          <w:i w:val="false"/>
          <w:color w:val="000000"/>
          <w:sz w:val="28"/>
        </w:rPr>
        <w:t xml:space="preserve">
      of the Republic of Kazakhstan              N. NAZARBAYEV </w:t>
      </w:r>
      <w:r>
        <w:br/>
      </w:r>
      <w:r>
        <w:rPr>
          <w:rFonts w:ascii="Times New Roman"/>
          <w:b w:val="false"/>
          <w:i w:val="false"/>
          <w:color w:val="000000"/>
          <w:sz w:val="28"/>
        </w:rPr>
        <w:t>
      Astana, Akorda, 11 February 2009 № 130-IV</w:t>
      </w:r>
    </w:p>
    <w:bookmarkStart w:name="z3" w:id="1"/>
    <w:p>
      <w:pPr>
        <w:spacing w:after="0"/>
        <w:ind w:left="0"/>
        <w:jc w:val="left"/>
      </w:pPr>
      <w:r>
        <w:rPr>
          <w:rFonts w:ascii="Times New Roman"/>
          <w:b/>
          <w:i w:val="false"/>
          <w:color w:val="000000"/>
        </w:rPr>
        <w:t xml:space="preserve"> 
Optional Protocol to the International Covenant on Civil and Political Rights </w:t>
      </w:r>
    </w:p>
    <w:bookmarkEnd w:id="1"/>
    <w:bookmarkStart w:name="z4" w:id="2"/>
    <w:p>
      <w:pPr>
        <w:spacing w:after="0"/>
        <w:ind w:left="0"/>
        <w:jc w:val="both"/>
      </w:pPr>
      <w:r>
        <w:rPr>
          <w:rFonts w:ascii="Times New Roman"/>
          <w:b w:val="false"/>
          <w:i w:val="false"/>
          <w:color w:val="000000"/>
          <w:sz w:val="28"/>
        </w:rPr>
        <w:t>
      Adopted and opened for signature, ratification and accession by General Assembly resolution 2200A (XXI) of 16 December 1966 entry into force 23 March 1976</w:t>
      </w:r>
      <w:r>
        <w:br/>
      </w:r>
      <w:r>
        <w:rPr>
          <w:rFonts w:ascii="Times New Roman"/>
          <w:b w:val="false"/>
          <w:i w:val="false"/>
          <w:color w:val="000000"/>
          <w:sz w:val="28"/>
        </w:rPr>
        <w:t>
</w:t>
      </w:r>
      <w:r>
        <w:rPr>
          <w:rFonts w:ascii="Times New Roman"/>
          <w:b w:val="false"/>
          <w:i w:val="false"/>
          <w:color w:val="000000"/>
          <w:sz w:val="28"/>
        </w:rPr>
        <w:t>
      The States Parties to the present Protocol,</w:t>
      </w:r>
      <w:r>
        <w:br/>
      </w:r>
      <w:r>
        <w:rPr>
          <w:rFonts w:ascii="Times New Roman"/>
          <w:b w:val="false"/>
          <w:i w:val="false"/>
          <w:color w:val="000000"/>
          <w:sz w:val="28"/>
        </w:rPr>
        <w:t>
</w:t>
      </w:r>
      <w:r>
        <w:rPr>
          <w:rFonts w:ascii="Times New Roman"/>
          <w:b w:val="false"/>
          <w:i w:val="false"/>
          <w:color w:val="000000"/>
          <w:sz w:val="28"/>
        </w:rPr>
        <w:t xml:space="preserve">
      Considering that in order further to achieve the purposes of the International Covenant on Civil and Political Rights (hereinafter referred to as the Covenant) and the implemenation of its provisions it would be appropriate to enable the Human Rights Committee set up in part IV of the Covenant (hereinafter referred to as the Committee) to receive and consider, as provided in the present Protocol, communications from individuals claiming to be victims of violations of any of the rights set forth in the Covenant. </w:t>
      </w:r>
      <w:r>
        <w:br/>
      </w:r>
      <w:r>
        <w:rPr>
          <w:rFonts w:ascii="Times New Roman"/>
          <w:b w:val="false"/>
          <w:i w:val="false"/>
          <w:color w:val="000000"/>
          <w:sz w:val="28"/>
        </w:rPr>
        <w:t>
</w:t>
      </w:r>
      <w:r>
        <w:rPr>
          <w:rFonts w:ascii="Times New Roman"/>
          <w:b w:val="false"/>
          <w:i w:val="false"/>
          <w:color w:val="000000"/>
          <w:sz w:val="28"/>
        </w:rPr>
        <w:t xml:space="preserve">
      Have agreed as follows: </w:t>
      </w:r>
    </w:p>
    <w:bookmarkEnd w:id="2"/>
    <w:bookmarkStart w:name="z8" w:id="3"/>
    <w:p>
      <w:pPr>
        <w:spacing w:after="0"/>
        <w:ind w:left="0"/>
        <w:jc w:val="left"/>
      </w:pPr>
      <w:r>
        <w:rPr>
          <w:rFonts w:ascii="Times New Roman"/>
          <w:b/>
          <w:i w:val="false"/>
          <w:color w:val="000000"/>
        </w:rPr>
        <w:t xml:space="preserve"> 
Article 1 </w:t>
      </w:r>
    </w:p>
    <w:bookmarkEnd w:id="3"/>
    <w:bookmarkStart w:name="z9" w:id="4"/>
    <w:p>
      <w:pPr>
        <w:spacing w:after="0"/>
        <w:ind w:left="0"/>
        <w:jc w:val="both"/>
      </w:pPr>
      <w:r>
        <w:rPr>
          <w:rFonts w:ascii="Times New Roman"/>
          <w:b w:val="false"/>
          <w:i w:val="false"/>
          <w:color w:val="000000"/>
          <w:sz w:val="28"/>
        </w:rPr>
        <w:t xml:space="preserve">
      A State Party to the Covenant that becomes a Party to the present Protocol recognizes the competence of the Committee to receive and consider communications from individuals subject to its jurisdiction who claim to be victims of a violation by that State Party of any of the rights set forth in the Covenant. No communication shall be received by the Committee if it concerns a State Party to the Covenant which is not a Party to the present Protocol. </w:t>
      </w:r>
    </w:p>
    <w:bookmarkEnd w:id="4"/>
    <w:bookmarkStart w:name="z10" w:id="5"/>
    <w:p>
      <w:pPr>
        <w:spacing w:after="0"/>
        <w:ind w:left="0"/>
        <w:jc w:val="left"/>
      </w:pPr>
      <w:r>
        <w:rPr>
          <w:rFonts w:ascii="Times New Roman"/>
          <w:b/>
          <w:i w:val="false"/>
          <w:color w:val="000000"/>
        </w:rPr>
        <w:t xml:space="preserve"> 
Article 2 </w:t>
      </w:r>
    </w:p>
    <w:bookmarkEnd w:id="5"/>
    <w:bookmarkStart w:name="z11" w:id="6"/>
    <w:p>
      <w:pPr>
        <w:spacing w:after="0"/>
        <w:ind w:left="0"/>
        <w:jc w:val="both"/>
      </w:pPr>
      <w:r>
        <w:rPr>
          <w:rFonts w:ascii="Times New Roman"/>
          <w:b w:val="false"/>
          <w:i w:val="false"/>
          <w:color w:val="000000"/>
          <w:sz w:val="28"/>
        </w:rPr>
        <w:t xml:space="preserve">
      Subject to the provisions of article 1, individuals who claim that any of their rights enumerated in the Covenant have been violated and who have exhausted all available domestic remedies may submit a written communication to the Committee for consideration. </w:t>
      </w:r>
    </w:p>
    <w:bookmarkEnd w:id="6"/>
    <w:bookmarkStart w:name="z12" w:id="7"/>
    <w:p>
      <w:pPr>
        <w:spacing w:after="0"/>
        <w:ind w:left="0"/>
        <w:jc w:val="left"/>
      </w:pPr>
      <w:r>
        <w:rPr>
          <w:rFonts w:ascii="Times New Roman"/>
          <w:b/>
          <w:i w:val="false"/>
          <w:color w:val="000000"/>
        </w:rPr>
        <w:t xml:space="preserve"> 
Article 3 </w:t>
      </w:r>
    </w:p>
    <w:bookmarkEnd w:id="7"/>
    <w:bookmarkStart w:name="z13" w:id="8"/>
    <w:p>
      <w:pPr>
        <w:spacing w:after="0"/>
        <w:ind w:left="0"/>
        <w:jc w:val="both"/>
      </w:pPr>
      <w:r>
        <w:rPr>
          <w:rFonts w:ascii="Times New Roman"/>
          <w:b w:val="false"/>
          <w:i w:val="false"/>
          <w:color w:val="000000"/>
          <w:sz w:val="28"/>
        </w:rPr>
        <w:t xml:space="preserve">
      The Committee shall consider inadmissible any communciation under the present Protocol which is anonymous, or which it considers to be an abuse of the right of submission of such communications or to be incompatible with the provisions of the Covenant. </w:t>
      </w:r>
    </w:p>
    <w:bookmarkEnd w:id="8"/>
    <w:bookmarkStart w:name="z14" w:id="9"/>
    <w:p>
      <w:pPr>
        <w:spacing w:after="0"/>
        <w:ind w:left="0"/>
        <w:jc w:val="left"/>
      </w:pPr>
      <w:r>
        <w:rPr>
          <w:rFonts w:ascii="Times New Roman"/>
          <w:b/>
          <w:i w:val="false"/>
          <w:color w:val="000000"/>
        </w:rPr>
        <w:t xml:space="preserve"> 
Article 4 </w:t>
      </w:r>
    </w:p>
    <w:bookmarkEnd w:id="9"/>
    <w:bookmarkStart w:name="z15" w:id="10"/>
    <w:p>
      <w:pPr>
        <w:spacing w:after="0"/>
        <w:ind w:left="0"/>
        <w:jc w:val="both"/>
      </w:pPr>
      <w:r>
        <w:rPr>
          <w:rFonts w:ascii="Times New Roman"/>
          <w:b w:val="false"/>
          <w:i w:val="false"/>
          <w:color w:val="000000"/>
          <w:sz w:val="28"/>
        </w:rPr>
        <w:t xml:space="preserve">
      1. Subject to the provisions of article 3, the Committee shall bring any communications submitted to it under the present Protocol to the attention of the State Party to the present Protocol alleged to be violating any provision of the Covenant. </w:t>
      </w:r>
      <w:r>
        <w:br/>
      </w:r>
      <w:r>
        <w:rPr>
          <w:rFonts w:ascii="Times New Roman"/>
          <w:b w:val="false"/>
          <w:i w:val="false"/>
          <w:color w:val="000000"/>
          <w:sz w:val="28"/>
        </w:rPr>
        <w:t>
</w:t>
      </w:r>
      <w:r>
        <w:rPr>
          <w:rFonts w:ascii="Times New Roman"/>
          <w:b w:val="false"/>
          <w:i w:val="false"/>
          <w:color w:val="000000"/>
          <w:sz w:val="28"/>
        </w:rPr>
        <w:t xml:space="preserve">
      2. Within six months, the receiving State shall submit to the Committee written explanations or statements clarifying the matter and the remedy, if any, that may have been taken by that State. </w:t>
      </w:r>
    </w:p>
    <w:bookmarkEnd w:id="10"/>
    <w:bookmarkStart w:name="z17" w:id="11"/>
    <w:p>
      <w:pPr>
        <w:spacing w:after="0"/>
        <w:ind w:left="0"/>
        <w:jc w:val="left"/>
      </w:pPr>
      <w:r>
        <w:rPr>
          <w:rFonts w:ascii="Times New Roman"/>
          <w:b/>
          <w:i w:val="false"/>
          <w:color w:val="000000"/>
        </w:rPr>
        <w:t xml:space="preserve"> 
Article 5 </w:t>
      </w:r>
    </w:p>
    <w:bookmarkEnd w:id="11"/>
    <w:bookmarkStart w:name="z18" w:id="12"/>
    <w:p>
      <w:pPr>
        <w:spacing w:after="0"/>
        <w:ind w:left="0"/>
        <w:jc w:val="both"/>
      </w:pPr>
      <w:r>
        <w:rPr>
          <w:rFonts w:ascii="Times New Roman"/>
          <w:b w:val="false"/>
          <w:i w:val="false"/>
          <w:color w:val="000000"/>
          <w:sz w:val="28"/>
        </w:rPr>
        <w:t xml:space="preserve">
      1. The Committee shall consider communications received under the present Protocol in the light of all written information made available to it by the individual and by the State Party concerned. </w:t>
      </w:r>
      <w:r>
        <w:br/>
      </w:r>
      <w:r>
        <w:rPr>
          <w:rFonts w:ascii="Times New Roman"/>
          <w:b w:val="false"/>
          <w:i w:val="false"/>
          <w:color w:val="000000"/>
          <w:sz w:val="28"/>
        </w:rPr>
        <w:t>
</w:t>
      </w:r>
      <w:r>
        <w:rPr>
          <w:rFonts w:ascii="Times New Roman"/>
          <w:b w:val="false"/>
          <w:i w:val="false"/>
          <w:color w:val="000000"/>
          <w:sz w:val="28"/>
        </w:rPr>
        <w:t xml:space="preserve">
      2. The Committee shall not consider any communication from an individual unless it has ascertained that: </w:t>
      </w:r>
      <w:r>
        <w:br/>
      </w:r>
      <w:r>
        <w:rPr>
          <w:rFonts w:ascii="Times New Roman"/>
          <w:b w:val="false"/>
          <w:i w:val="false"/>
          <w:color w:val="000000"/>
          <w:sz w:val="28"/>
        </w:rPr>
        <w:t>
</w:t>
      </w:r>
      <w:r>
        <w:rPr>
          <w:rFonts w:ascii="Times New Roman"/>
          <w:b w:val="false"/>
          <w:i w:val="false"/>
          <w:color w:val="000000"/>
          <w:sz w:val="28"/>
        </w:rPr>
        <w:t xml:space="preserve">
      (a) The same matter is not being examined under another procedure of international investigation or settlement; </w:t>
      </w:r>
      <w:r>
        <w:br/>
      </w:r>
      <w:r>
        <w:rPr>
          <w:rFonts w:ascii="Times New Roman"/>
          <w:b w:val="false"/>
          <w:i w:val="false"/>
          <w:color w:val="000000"/>
          <w:sz w:val="28"/>
        </w:rPr>
        <w:t>
</w:t>
      </w:r>
      <w:r>
        <w:rPr>
          <w:rFonts w:ascii="Times New Roman"/>
          <w:b w:val="false"/>
          <w:i w:val="false"/>
          <w:color w:val="000000"/>
          <w:sz w:val="28"/>
        </w:rPr>
        <w:t xml:space="preserve">
      (b) The individual has exhausted all available domestic remedies. This shall not be the rule where the application of the remedies is unreasonably prolonged. </w:t>
      </w:r>
      <w:r>
        <w:br/>
      </w:r>
      <w:r>
        <w:rPr>
          <w:rFonts w:ascii="Times New Roman"/>
          <w:b w:val="false"/>
          <w:i w:val="false"/>
          <w:color w:val="000000"/>
          <w:sz w:val="28"/>
        </w:rPr>
        <w:t>
</w:t>
      </w:r>
      <w:r>
        <w:rPr>
          <w:rFonts w:ascii="Times New Roman"/>
          <w:b w:val="false"/>
          <w:i w:val="false"/>
          <w:color w:val="000000"/>
          <w:sz w:val="28"/>
        </w:rPr>
        <w:t xml:space="preserve">
      3. The Committee shall hold closed meetings when examining communications under the present Protocol. </w:t>
      </w:r>
      <w:r>
        <w:br/>
      </w:r>
      <w:r>
        <w:rPr>
          <w:rFonts w:ascii="Times New Roman"/>
          <w:b w:val="false"/>
          <w:i w:val="false"/>
          <w:color w:val="000000"/>
          <w:sz w:val="28"/>
        </w:rPr>
        <w:t>
</w:t>
      </w:r>
      <w:r>
        <w:rPr>
          <w:rFonts w:ascii="Times New Roman"/>
          <w:b w:val="false"/>
          <w:i w:val="false"/>
          <w:color w:val="000000"/>
          <w:sz w:val="28"/>
        </w:rPr>
        <w:t xml:space="preserve">
      4. The Committee shall forward its views to the State Party concerned and to the individual. </w:t>
      </w:r>
    </w:p>
    <w:bookmarkEnd w:id="12"/>
    <w:bookmarkStart w:name="z24" w:id="13"/>
    <w:p>
      <w:pPr>
        <w:spacing w:after="0"/>
        <w:ind w:left="0"/>
        <w:jc w:val="left"/>
      </w:pPr>
      <w:r>
        <w:rPr>
          <w:rFonts w:ascii="Times New Roman"/>
          <w:b/>
          <w:i w:val="false"/>
          <w:color w:val="000000"/>
        </w:rPr>
        <w:t xml:space="preserve"> 
Article 6 </w:t>
      </w:r>
    </w:p>
    <w:bookmarkEnd w:id="13"/>
    <w:bookmarkStart w:name="z25" w:id="14"/>
    <w:p>
      <w:pPr>
        <w:spacing w:after="0"/>
        <w:ind w:left="0"/>
        <w:jc w:val="both"/>
      </w:pPr>
      <w:r>
        <w:rPr>
          <w:rFonts w:ascii="Times New Roman"/>
          <w:b w:val="false"/>
          <w:i w:val="false"/>
          <w:color w:val="000000"/>
          <w:sz w:val="28"/>
        </w:rPr>
        <w:t>
      The Committee shall include in its annual report under article 45 of the Covenant a summary of its activities under the present Protocol.</w:t>
      </w:r>
    </w:p>
    <w:bookmarkEnd w:id="14"/>
    <w:bookmarkStart w:name="z26" w:id="15"/>
    <w:p>
      <w:pPr>
        <w:spacing w:after="0"/>
        <w:ind w:left="0"/>
        <w:jc w:val="left"/>
      </w:pPr>
      <w:r>
        <w:rPr>
          <w:rFonts w:ascii="Times New Roman"/>
          <w:b/>
          <w:i w:val="false"/>
          <w:color w:val="000000"/>
        </w:rPr>
        <w:t xml:space="preserve"> 
Article 7 </w:t>
      </w:r>
    </w:p>
    <w:bookmarkEnd w:id="15"/>
    <w:bookmarkStart w:name="z27" w:id="16"/>
    <w:p>
      <w:pPr>
        <w:spacing w:after="0"/>
        <w:ind w:left="0"/>
        <w:jc w:val="both"/>
      </w:pPr>
      <w:r>
        <w:rPr>
          <w:rFonts w:ascii="Times New Roman"/>
          <w:b w:val="false"/>
          <w:i w:val="false"/>
          <w:color w:val="000000"/>
          <w:sz w:val="28"/>
        </w:rPr>
        <w:t xml:space="preserve">
      Pending the achievement of the objectives of resolution 1514(XV) adopted by the General Assembly of the United Nations on 14 December 1960 concerning the Declaration on the Granting of Independence to Colonial Countries and Peoples, the provisions of the present Protocol shall in no way limit the right of petition granted to these peoples by the Charter of the United Nations and other international conventions and instruments under the United Nations and its specialized agencies. </w:t>
      </w:r>
    </w:p>
    <w:bookmarkEnd w:id="16"/>
    <w:bookmarkStart w:name="z28" w:id="17"/>
    <w:p>
      <w:pPr>
        <w:spacing w:after="0"/>
        <w:ind w:left="0"/>
        <w:jc w:val="left"/>
      </w:pPr>
      <w:r>
        <w:rPr>
          <w:rFonts w:ascii="Times New Roman"/>
          <w:b/>
          <w:i w:val="false"/>
          <w:color w:val="000000"/>
        </w:rPr>
        <w:t xml:space="preserve"> 
Article 8 </w:t>
      </w:r>
    </w:p>
    <w:bookmarkEnd w:id="17"/>
    <w:bookmarkStart w:name="z29" w:id="18"/>
    <w:p>
      <w:pPr>
        <w:spacing w:after="0"/>
        <w:ind w:left="0"/>
        <w:jc w:val="both"/>
      </w:pPr>
      <w:r>
        <w:rPr>
          <w:rFonts w:ascii="Times New Roman"/>
          <w:b w:val="false"/>
          <w:i w:val="false"/>
          <w:color w:val="000000"/>
          <w:sz w:val="28"/>
        </w:rPr>
        <w:t xml:space="preserve">
      1. The present Protocol is open for signature by any State which has signed the Covenant. </w:t>
      </w:r>
      <w:r>
        <w:br/>
      </w:r>
      <w:r>
        <w:rPr>
          <w:rFonts w:ascii="Times New Roman"/>
          <w:b w:val="false"/>
          <w:i w:val="false"/>
          <w:color w:val="000000"/>
          <w:sz w:val="28"/>
        </w:rPr>
        <w:t>
</w:t>
      </w:r>
      <w:r>
        <w:rPr>
          <w:rFonts w:ascii="Times New Roman"/>
          <w:b w:val="false"/>
          <w:i w:val="false"/>
          <w:color w:val="000000"/>
          <w:sz w:val="28"/>
        </w:rPr>
        <w:t xml:space="preserve">
      2. The present Protocol is subject to ratification by any State which has ratified or acceded to the Covenant. Instruments of ratification shall be deposited with the Secretary-General of the United Nations. </w:t>
      </w:r>
      <w:r>
        <w:br/>
      </w:r>
      <w:r>
        <w:rPr>
          <w:rFonts w:ascii="Times New Roman"/>
          <w:b w:val="false"/>
          <w:i w:val="false"/>
          <w:color w:val="000000"/>
          <w:sz w:val="28"/>
        </w:rPr>
        <w:t>
</w:t>
      </w:r>
      <w:r>
        <w:rPr>
          <w:rFonts w:ascii="Times New Roman"/>
          <w:b w:val="false"/>
          <w:i w:val="false"/>
          <w:color w:val="000000"/>
          <w:sz w:val="28"/>
        </w:rPr>
        <w:t xml:space="preserve">
      3. The present Protocol shall be open to accession by any State which has ratified or acceded to the Covenant. </w:t>
      </w:r>
      <w:r>
        <w:br/>
      </w:r>
      <w:r>
        <w:rPr>
          <w:rFonts w:ascii="Times New Roman"/>
          <w:b w:val="false"/>
          <w:i w:val="false"/>
          <w:color w:val="000000"/>
          <w:sz w:val="28"/>
        </w:rPr>
        <w:t>
</w:t>
      </w:r>
      <w:r>
        <w:rPr>
          <w:rFonts w:ascii="Times New Roman"/>
          <w:b w:val="false"/>
          <w:i w:val="false"/>
          <w:color w:val="000000"/>
          <w:sz w:val="28"/>
        </w:rPr>
        <w:t xml:space="preserve">
      4. Accession shall be effected by the deposit of an instrument of accession with the Secretary-General of the United Nations. </w:t>
      </w:r>
      <w:r>
        <w:br/>
      </w:r>
      <w:r>
        <w:rPr>
          <w:rFonts w:ascii="Times New Roman"/>
          <w:b w:val="false"/>
          <w:i w:val="false"/>
          <w:color w:val="000000"/>
          <w:sz w:val="28"/>
        </w:rPr>
        <w:t>
</w:t>
      </w:r>
      <w:r>
        <w:rPr>
          <w:rFonts w:ascii="Times New Roman"/>
          <w:b w:val="false"/>
          <w:i w:val="false"/>
          <w:color w:val="000000"/>
          <w:sz w:val="28"/>
        </w:rPr>
        <w:t xml:space="preserve">
      5. The Secretary-General of the United Nations shall inform all States which have signed the present Protocol or acceded to it of the deposit of each instrument of ratification or accession. </w:t>
      </w:r>
    </w:p>
    <w:bookmarkEnd w:id="18"/>
    <w:bookmarkStart w:name="z34" w:id="19"/>
    <w:p>
      <w:pPr>
        <w:spacing w:after="0"/>
        <w:ind w:left="0"/>
        <w:jc w:val="left"/>
      </w:pPr>
      <w:r>
        <w:rPr>
          <w:rFonts w:ascii="Times New Roman"/>
          <w:b/>
          <w:i w:val="false"/>
          <w:color w:val="000000"/>
        </w:rPr>
        <w:t xml:space="preserve"> 
Article 9 </w:t>
      </w:r>
    </w:p>
    <w:bookmarkEnd w:id="19"/>
    <w:bookmarkStart w:name="z35" w:id="20"/>
    <w:p>
      <w:pPr>
        <w:spacing w:after="0"/>
        <w:ind w:left="0"/>
        <w:jc w:val="both"/>
      </w:pPr>
      <w:r>
        <w:rPr>
          <w:rFonts w:ascii="Times New Roman"/>
          <w:b w:val="false"/>
          <w:i w:val="false"/>
          <w:color w:val="000000"/>
          <w:sz w:val="28"/>
        </w:rPr>
        <w:t xml:space="preserve">
      1. Subject to the entry into force of the Covenant, the present Protocol shall enter into force three months after the date of the deposit with the Secretary-General of the United Nations of the tenth instrument of ratification or instrument of accession. </w:t>
      </w:r>
      <w:r>
        <w:br/>
      </w:r>
      <w:r>
        <w:rPr>
          <w:rFonts w:ascii="Times New Roman"/>
          <w:b w:val="false"/>
          <w:i w:val="false"/>
          <w:color w:val="000000"/>
          <w:sz w:val="28"/>
        </w:rPr>
        <w:t>
</w:t>
      </w:r>
      <w:r>
        <w:rPr>
          <w:rFonts w:ascii="Times New Roman"/>
          <w:b w:val="false"/>
          <w:i w:val="false"/>
          <w:color w:val="000000"/>
          <w:sz w:val="28"/>
        </w:rPr>
        <w:t xml:space="preserve">
      2. For each State ratifying the present Protocol or acceding to it after the deposit of the tenth instrument of ratification or instrument of accession, the present Protocol shall enter into force three months after the date of the deposit of its own instrument of ratification or instrument of accession. </w:t>
      </w:r>
    </w:p>
    <w:bookmarkEnd w:id="20"/>
    <w:bookmarkStart w:name="z37" w:id="21"/>
    <w:p>
      <w:pPr>
        <w:spacing w:after="0"/>
        <w:ind w:left="0"/>
        <w:jc w:val="left"/>
      </w:pPr>
      <w:r>
        <w:rPr>
          <w:rFonts w:ascii="Times New Roman"/>
          <w:b/>
          <w:i w:val="false"/>
          <w:color w:val="000000"/>
        </w:rPr>
        <w:t xml:space="preserve"> 
Article 10 </w:t>
      </w:r>
    </w:p>
    <w:bookmarkEnd w:id="21"/>
    <w:bookmarkStart w:name="z38" w:id="22"/>
    <w:p>
      <w:pPr>
        <w:spacing w:after="0"/>
        <w:ind w:left="0"/>
        <w:jc w:val="both"/>
      </w:pPr>
      <w:r>
        <w:rPr>
          <w:rFonts w:ascii="Times New Roman"/>
          <w:b w:val="false"/>
          <w:i w:val="false"/>
          <w:color w:val="000000"/>
          <w:sz w:val="28"/>
        </w:rPr>
        <w:t xml:space="preserve">
      The provisions of the present Protocol shall extend to all parts of federal States without any limitations or exceptions. </w:t>
      </w:r>
    </w:p>
    <w:bookmarkEnd w:id="22"/>
    <w:bookmarkStart w:name="z39" w:id="23"/>
    <w:p>
      <w:pPr>
        <w:spacing w:after="0"/>
        <w:ind w:left="0"/>
        <w:jc w:val="left"/>
      </w:pPr>
      <w:r>
        <w:rPr>
          <w:rFonts w:ascii="Times New Roman"/>
          <w:b/>
          <w:i w:val="false"/>
          <w:color w:val="000000"/>
        </w:rPr>
        <w:t xml:space="preserve"> 
Article 11 </w:t>
      </w:r>
    </w:p>
    <w:bookmarkEnd w:id="23"/>
    <w:bookmarkStart w:name="z40" w:id="24"/>
    <w:p>
      <w:pPr>
        <w:spacing w:after="0"/>
        <w:ind w:left="0"/>
        <w:jc w:val="both"/>
      </w:pPr>
      <w:r>
        <w:rPr>
          <w:rFonts w:ascii="Times New Roman"/>
          <w:b w:val="false"/>
          <w:i w:val="false"/>
          <w:color w:val="000000"/>
          <w:sz w:val="28"/>
        </w:rPr>
        <w:t xml:space="preserve">
      1. Any State Party to the present Protocol may propose an amendment and file it with the Secretary-General of the United Nations. The Secretary-General shall thereupon communicate any proposed amendments to the States Parties to the present Protocol with a request that they notify him whether they favour a conference of States Parties for the purpose of considering and voting upon the proposal. In the event that at least one third of the States Parties favours such a conference, the Secretary-General shall convene the conference under the auspices of the United Nations. Any amendment adopted by a majority of the States Parties present and voting at the conference shall be submitted to the General Assembly of the United Nations for approval. </w:t>
      </w:r>
      <w:r>
        <w:br/>
      </w:r>
      <w:r>
        <w:rPr>
          <w:rFonts w:ascii="Times New Roman"/>
          <w:b w:val="false"/>
          <w:i w:val="false"/>
          <w:color w:val="000000"/>
          <w:sz w:val="28"/>
        </w:rPr>
        <w:t>
</w:t>
      </w:r>
      <w:r>
        <w:rPr>
          <w:rFonts w:ascii="Times New Roman"/>
          <w:b w:val="false"/>
          <w:i w:val="false"/>
          <w:color w:val="000000"/>
          <w:sz w:val="28"/>
        </w:rPr>
        <w:t xml:space="preserve">
      2. Amendments shall come into force when they have been approved by the General Assembly of the United Nations and accepted by a two-thirds majority of the States Parties to the present Protocol in accordance with their respective constitutional processes. </w:t>
      </w:r>
      <w:r>
        <w:br/>
      </w:r>
      <w:r>
        <w:rPr>
          <w:rFonts w:ascii="Times New Roman"/>
          <w:b w:val="false"/>
          <w:i w:val="false"/>
          <w:color w:val="000000"/>
          <w:sz w:val="28"/>
        </w:rPr>
        <w:t>
</w:t>
      </w:r>
      <w:r>
        <w:rPr>
          <w:rFonts w:ascii="Times New Roman"/>
          <w:b w:val="false"/>
          <w:i w:val="false"/>
          <w:color w:val="000000"/>
          <w:sz w:val="28"/>
        </w:rPr>
        <w:t xml:space="preserve">
      3. When amendments come into force, they shall be binding on those States Parties which have accepted them, other States Parties still being bound by the provisions of the present Protocol and any earlier amendment which they have accepted. </w:t>
      </w:r>
    </w:p>
    <w:bookmarkEnd w:id="24"/>
    <w:bookmarkStart w:name="z43" w:id="25"/>
    <w:p>
      <w:pPr>
        <w:spacing w:after="0"/>
        <w:ind w:left="0"/>
        <w:jc w:val="left"/>
      </w:pPr>
      <w:r>
        <w:rPr>
          <w:rFonts w:ascii="Times New Roman"/>
          <w:b/>
          <w:i w:val="false"/>
          <w:color w:val="000000"/>
        </w:rPr>
        <w:t xml:space="preserve"> 
Article 12 </w:t>
      </w:r>
    </w:p>
    <w:bookmarkEnd w:id="25"/>
    <w:bookmarkStart w:name="z44" w:id="26"/>
    <w:p>
      <w:pPr>
        <w:spacing w:after="0"/>
        <w:ind w:left="0"/>
        <w:jc w:val="both"/>
      </w:pPr>
      <w:r>
        <w:rPr>
          <w:rFonts w:ascii="Times New Roman"/>
          <w:b w:val="false"/>
          <w:i w:val="false"/>
          <w:color w:val="000000"/>
          <w:sz w:val="28"/>
        </w:rPr>
        <w:t xml:space="preserve">
      1. Any State Party may denounce the present Protocol at any time by written notification addressed to the Secretary-General of the United Nations. Denunciation shall take effect three months after the date of receipt of the notification by the Secretary-General. </w:t>
      </w:r>
      <w:r>
        <w:br/>
      </w:r>
      <w:r>
        <w:rPr>
          <w:rFonts w:ascii="Times New Roman"/>
          <w:b w:val="false"/>
          <w:i w:val="false"/>
          <w:color w:val="000000"/>
          <w:sz w:val="28"/>
        </w:rPr>
        <w:t>
</w:t>
      </w:r>
      <w:r>
        <w:rPr>
          <w:rFonts w:ascii="Times New Roman"/>
          <w:b w:val="false"/>
          <w:i w:val="false"/>
          <w:color w:val="000000"/>
          <w:sz w:val="28"/>
        </w:rPr>
        <w:t xml:space="preserve">
      2. Denunciation shall be without prejudice to the continued application of the provisions of the present Protocol to any communication submitted under article 2 before the effective date of denunciation. </w:t>
      </w:r>
    </w:p>
    <w:bookmarkEnd w:id="26"/>
    <w:bookmarkStart w:name="z46" w:id="27"/>
    <w:p>
      <w:pPr>
        <w:spacing w:after="0"/>
        <w:ind w:left="0"/>
        <w:jc w:val="left"/>
      </w:pPr>
      <w:r>
        <w:rPr>
          <w:rFonts w:ascii="Times New Roman"/>
          <w:b/>
          <w:i w:val="false"/>
          <w:color w:val="000000"/>
        </w:rPr>
        <w:t xml:space="preserve"> 
Article 13 </w:t>
      </w:r>
    </w:p>
    <w:bookmarkEnd w:id="27"/>
    <w:bookmarkStart w:name="z47" w:id="28"/>
    <w:p>
      <w:pPr>
        <w:spacing w:after="0"/>
        <w:ind w:left="0"/>
        <w:jc w:val="both"/>
      </w:pPr>
      <w:r>
        <w:rPr>
          <w:rFonts w:ascii="Times New Roman"/>
          <w:b w:val="false"/>
          <w:i w:val="false"/>
          <w:color w:val="000000"/>
          <w:sz w:val="28"/>
        </w:rPr>
        <w:t>
      Irrespective of the notifications made under article 8, </w:t>
      </w:r>
      <w:r>
        <w:rPr>
          <w:rFonts w:ascii="Times New Roman"/>
          <w:b w:val="false"/>
          <w:i w:val="false"/>
          <w:color w:val="000000"/>
          <w:sz w:val="28"/>
        </w:rPr>
        <w:t>paragraph 5</w:t>
      </w:r>
      <w:r>
        <w:rPr>
          <w:rFonts w:ascii="Times New Roman"/>
          <w:b w:val="false"/>
          <w:i w:val="false"/>
          <w:color w:val="000000"/>
          <w:sz w:val="28"/>
        </w:rPr>
        <w:t>, of the present Protocol, the Secretary-General of the United Nations shall inform all States referred to in </w:t>
      </w:r>
      <w:r>
        <w:rPr>
          <w:rFonts w:ascii="Times New Roman"/>
          <w:b w:val="false"/>
          <w:i w:val="false"/>
          <w:color w:val="000000"/>
          <w:sz w:val="28"/>
        </w:rPr>
        <w:t>article 48</w:t>
      </w:r>
      <w:r>
        <w:rPr>
          <w:rFonts w:ascii="Times New Roman"/>
          <w:b w:val="false"/>
          <w:i w:val="false"/>
          <w:color w:val="000000"/>
          <w:sz w:val="28"/>
        </w:rPr>
        <w:t xml:space="preserve">, paragraph I, of the Covenant of the following particulars: </w:t>
      </w:r>
      <w:r>
        <w:br/>
      </w:r>
      <w:r>
        <w:rPr>
          <w:rFonts w:ascii="Times New Roman"/>
          <w:b w:val="false"/>
          <w:i w:val="false"/>
          <w:color w:val="000000"/>
          <w:sz w:val="28"/>
        </w:rPr>
        <w:t>
</w:t>
      </w:r>
      <w:r>
        <w:rPr>
          <w:rFonts w:ascii="Times New Roman"/>
          <w:b w:val="false"/>
          <w:i w:val="false"/>
          <w:color w:val="000000"/>
          <w:sz w:val="28"/>
        </w:rPr>
        <w:t>
      (a) Signatures, ratifications and accessions under </w:t>
      </w:r>
      <w:r>
        <w:rPr>
          <w:rFonts w:ascii="Times New Roman"/>
          <w:b w:val="false"/>
          <w:i w:val="false"/>
          <w:color w:val="000000"/>
          <w:sz w:val="28"/>
        </w:rPr>
        <w:t>article 8</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(b) The date of the entry into force of the present Protocol under </w:t>
      </w:r>
      <w:r>
        <w:rPr>
          <w:rFonts w:ascii="Times New Roman"/>
          <w:b w:val="false"/>
          <w:i w:val="false"/>
          <w:color w:val="000000"/>
          <w:sz w:val="28"/>
        </w:rPr>
        <w:t>article 9</w:t>
      </w:r>
      <w:r>
        <w:rPr>
          <w:rFonts w:ascii="Times New Roman"/>
          <w:b w:val="false"/>
          <w:i w:val="false"/>
          <w:color w:val="000000"/>
          <w:sz w:val="28"/>
        </w:rPr>
        <w:t xml:space="preserve"> and the date of the entry into force of any amendments under </w:t>
      </w:r>
      <w:r>
        <w:rPr>
          <w:rFonts w:ascii="Times New Roman"/>
          <w:b w:val="false"/>
          <w:i w:val="false"/>
          <w:color w:val="000000"/>
          <w:sz w:val="28"/>
        </w:rPr>
        <w:t>article 11</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(c) Denunciations under article 12. </w:t>
      </w:r>
    </w:p>
    <w:bookmarkEnd w:id="28"/>
    <w:bookmarkStart w:name="z51" w:id="29"/>
    <w:p>
      <w:pPr>
        <w:spacing w:after="0"/>
        <w:ind w:left="0"/>
        <w:jc w:val="left"/>
      </w:pPr>
      <w:r>
        <w:rPr>
          <w:rFonts w:ascii="Times New Roman"/>
          <w:b/>
          <w:i w:val="false"/>
          <w:color w:val="000000"/>
        </w:rPr>
        <w:t xml:space="preserve"> 
Article 14 </w:t>
      </w:r>
    </w:p>
    <w:bookmarkEnd w:id="29"/>
    <w:bookmarkStart w:name="z52" w:id="30"/>
    <w:p>
      <w:pPr>
        <w:spacing w:after="0"/>
        <w:ind w:left="0"/>
        <w:jc w:val="both"/>
      </w:pPr>
      <w:r>
        <w:rPr>
          <w:rFonts w:ascii="Times New Roman"/>
          <w:b w:val="false"/>
          <w:i w:val="false"/>
          <w:color w:val="000000"/>
          <w:sz w:val="28"/>
        </w:rPr>
        <w:t xml:space="preserve">
      1. The present Protocol, of which the Chinese, English, French, Russian and Spanish texts are equally authentic, shall be deposited in the archives of the United Nations. </w:t>
      </w:r>
      <w:r>
        <w:br/>
      </w:r>
      <w:r>
        <w:rPr>
          <w:rFonts w:ascii="Times New Roman"/>
          <w:b w:val="false"/>
          <w:i w:val="false"/>
          <w:color w:val="000000"/>
          <w:sz w:val="28"/>
        </w:rPr>
        <w:t>
</w:t>
      </w:r>
      <w:r>
        <w:rPr>
          <w:rFonts w:ascii="Times New Roman"/>
          <w:b w:val="false"/>
          <w:i w:val="false"/>
          <w:color w:val="000000"/>
          <w:sz w:val="28"/>
        </w:rPr>
        <w:t xml:space="preserve">
      2. The Secretary-General of the United Nations shall transmit certified copies of the present Protocol to all States referred to in article 48 of the Covenant. </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