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d043" w14:textId="cb7d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the Republican Referendum"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May, 4, 2008 N 30-IV</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The Constitutional Law of the Republic of Kazakhstan dated November 2, 1995 "On the Republican referendum" (Bulletin of the Parliament of the Republic of Kazakhstan, 1995, N 22, Article 131; Bulletin of the Parliament of the Republic of Kazakhstan, 1995, N 10, Article 341; N 22, Article 129) should be introduced with the following amendments and supplements:</w:t>
      </w:r>
      <w:r>
        <w:br/>
      </w:r>
      <w:r>
        <w:rPr>
          <w:rFonts w:ascii="Times New Roman"/>
          <w:b w:val="false"/>
          <w:i w:val="false"/>
          <w:color w:val="000000"/>
          <w:sz w:val="28"/>
        </w:rPr>
        <w:t>
      1. In sub-item 2) of item 1 of Article 11, the words "at a joint session of its Chambers by a majority vote of the total number members of each chamber and finalized by the relevant resolution" should be substituted by the words: "in a separate meeting of the Chambers through consecutive consideration of the issue first in the Majilis and then in the Senate and finalized by the relevant regulation of the Chambers of Parliament";</w:t>
      </w:r>
      <w:r>
        <w:br/>
      </w:r>
      <w:r>
        <w:rPr>
          <w:rFonts w:ascii="Times New Roman"/>
          <w:b w:val="false"/>
          <w:i w:val="false"/>
          <w:color w:val="000000"/>
          <w:sz w:val="28"/>
        </w:rPr>
        <w:t>
      2) Item 3 of Article 31 shall be supplemented with the following paragraph:</w:t>
      </w:r>
      <w:r>
        <w:br/>
      </w:r>
      <w:r>
        <w:rPr>
          <w:rFonts w:ascii="Times New Roman"/>
          <w:b w:val="false"/>
          <w:i w:val="false"/>
          <w:color w:val="000000"/>
          <w:sz w:val="28"/>
        </w:rPr>
        <w:t>
      "Amendments and supplements to the Constitution submitted for national referendum shall be deemed adopted if more than half of the participating citizens in at least two-thirds of the regions, big cities and the capital vote for them."</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comes into force on the day of its first official publication.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 N.Nazarbayev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