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f841" w14:textId="729f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ratification of the Convention concerning Right to Organise and Collective Bargaining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14 December 2000</w:t>
      </w:r>
    </w:p>
    <w:p>
      <w:pPr>
        <w:spacing w:after="0"/>
        <w:ind w:left="0"/>
        <w:jc w:val="both"/>
      </w:pPr>
      <w:bookmarkStart w:name="z1" w:id="0"/>
      <w:r>
        <w:rPr>
          <w:rFonts w:ascii="Times New Roman"/>
          <w:b w:val="false"/>
          <w:i w:val="false"/>
          <w:color w:val="000000"/>
          <w:sz w:val="28"/>
        </w:rPr>
        <w:t xml:space="preserve">
      To ratify the Convention concerning Right to Organise and Collective Bargaining (Convention № 98), adopted on the 32-th session of General conference of the International Labor Organization in Geneva, 1 July 1949.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President </w:t>
      </w:r>
      <w:r>
        <w:br/>
      </w:r>
      <w:r>
        <w:rPr>
          <w:rFonts w:ascii="Times New Roman"/>
          <w:b w:val="false"/>
          <w:i w:val="false"/>
          <w:color w:val="000000"/>
          <w:sz w:val="28"/>
        </w:rPr>
        <w:t>
</w:t>
      </w:r>
      <w:r>
        <w:rPr>
          <w:rFonts w:ascii="Times New Roman"/>
          <w:b w:val="false"/>
          <w:i/>
          <w:color w:val="000000"/>
          <w:sz w:val="28"/>
        </w:rPr>
        <w:t>      of the Republic of Kazakhstan              N. NAZARBAYEV</w:t>
      </w:r>
    </w:p>
    <w:bookmarkStart w:name="z2" w:id="1"/>
    <w:p>
      <w:pPr>
        <w:spacing w:after="0"/>
        <w:ind w:left="0"/>
        <w:jc w:val="left"/>
      </w:pPr>
      <w:r>
        <w:rPr>
          <w:rFonts w:ascii="Times New Roman"/>
          <w:b/>
          <w:i w:val="false"/>
          <w:color w:val="000000"/>
        </w:rPr>
        <w:t xml:space="preserve"> 
Convention №98 of the International Labour Organisation concerning Right to Organise and Collective Bargaining</w:t>
      </w:r>
    </w:p>
    <w:bookmarkEnd w:id="1"/>
    <w:bookmarkStart w:name="z3" w:id="2"/>
    <w:p>
      <w:pPr>
        <w:spacing w:after="0"/>
        <w:ind w:left="0"/>
        <w:jc w:val="left"/>
      </w:pPr>
      <w:r>
        <w:rPr>
          <w:rFonts w:ascii="Times New Roman"/>
          <w:b/>
          <w:i w:val="false"/>
          <w:color w:val="000000"/>
        </w:rPr>
        <w:t xml:space="preserve"> 
(Geneva, 8 June 1949)</w:t>
      </w:r>
    </w:p>
    <w:bookmarkEnd w:id="2"/>
    <w:bookmarkStart w:name="z4" w:id="3"/>
    <w:p>
      <w:pPr>
        <w:spacing w:after="0"/>
        <w:ind w:left="0"/>
        <w:jc w:val="left"/>
      </w:pPr>
      <w:r>
        <w:rPr>
          <w:rFonts w:ascii="Times New Roman"/>
          <w:b/>
          <w:i w:val="false"/>
          <w:color w:val="000000"/>
        </w:rPr>
        <w:t xml:space="preserve"> 
Preamble </w:t>
      </w:r>
    </w:p>
    <w:bookmarkEnd w:id="3"/>
    <w:bookmarkStart w:name="z5" w:id="4"/>
    <w:p>
      <w:pPr>
        <w:spacing w:after="0"/>
        <w:ind w:left="0"/>
        <w:jc w:val="both"/>
      </w:pPr>
      <w:r>
        <w:rPr>
          <w:rFonts w:ascii="Times New Roman"/>
          <w:b w:val="false"/>
          <w:i w:val="false"/>
          <w:color w:val="000000"/>
          <w:sz w:val="28"/>
        </w:rPr>
        <w:t>
      The General Conference of the International Labour Organisation,</w:t>
      </w:r>
      <w:r>
        <w:br/>
      </w:r>
      <w:r>
        <w:rPr>
          <w:rFonts w:ascii="Times New Roman"/>
          <w:b w:val="false"/>
          <w:i w:val="false"/>
          <w:color w:val="000000"/>
          <w:sz w:val="28"/>
        </w:rPr>
        <w:t>
</w:t>
      </w:r>
      <w:r>
        <w:rPr>
          <w:rFonts w:ascii="Times New Roman"/>
          <w:b w:val="false"/>
          <w:i w:val="false"/>
          <w:color w:val="000000"/>
          <w:sz w:val="28"/>
        </w:rPr>
        <w:t>
      Having been convened at Geneva by the Governing Body of the International Labour Office, and having met in its Thirty-second Session on 8 June 1949, and</w:t>
      </w:r>
      <w:r>
        <w:br/>
      </w:r>
      <w:r>
        <w:rPr>
          <w:rFonts w:ascii="Times New Roman"/>
          <w:b w:val="false"/>
          <w:i w:val="false"/>
          <w:color w:val="000000"/>
          <w:sz w:val="28"/>
        </w:rPr>
        <w:t>
</w:t>
      </w:r>
      <w:r>
        <w:rPr>
          <w:rFonts w:ascii="Times New Roman"/>
          <w:b w:val="false"/>
          <w:i w:val="false"/>
          <w:color w:val="000000"/>
          <w:sz w:val="28"/>
        </w:rPr>
        <w:t>
      Having decided upon the adoption of certain proposals concerning the application of the principles of the right to organise and to bargain collectively, which is the fourth item on the agenda of the session, and</w:t>
      </w:r>
      <w:r>
        <w:br/>
      </w:r>
      <w:r>
        <w:rPr>
          <w:rFonts w:ascii="Times New Roman"/>
          <w:b w:val="false"/>
          <w:i w:val="false"/>
          <w:color w:val="000000"/>
          <w:sz w:val="28"/>
        </w:rPr>
        <w:t>
</w:t>
      </w:r>
      <w:r>
        <w:rPr>
          <w:rFonts w:ascii="Times New Roman"/>
          <w:b w:val="false"/>
          <w:i w:val="false"/>
          <w:color w:val="000000"/>
          <w:sz w:val="28"/>
        </w:rPr>
        <w:t>
      Having determined that these proposals shall take the form of an international Convention,</w:t>
      </w:r>
      <w:r>
        <w:br/>
      </w:r>
      <w:r>
        <w:rPr>
          <w:rFonts w:ascii="Times New Roman"/>
          <w:b w:val="false"/>
          <w:i w:val="false"/>
          <w:color w:val="000000"/>
          <w:sz w:val="28"/>
        </w:rPr>
        <w:t>
</w:t>
      </w:r>
      <w:r>
        <w:rPr>
          <w:rFonts w:ascii="Times New Roman"/>
          <w:b w:val="false"/>
          <w:i w:val="false"/>
          <w:color w:val="000000"/>
          <w:sz w:val="28"/>
        </w:rPr>
        <w:t>
      adopts this first day of July of the year one thousand nine hundred and forty-nine the following Convention, which may be cited as the Right to Organise and Collective Bargaining Convention, 1949:</w:t>
      </w:r>
    </w:p>
    <w:bookmarkEnd w:id="4"/>
    <w:bookmarkStart w:name="z10" w:id="5"/>
    <w:p>
      <w:pPr>
        <w:spacing w:after="0"/>
        <w:ind w:left="0"/>
        <w:jc w:val="left"/>
      </w:pPr>
      <w:r>
        <w:rPr>
          <w:rFonts w:ascii="Times New Roman"/>
          <w:b/>
          <w:i w:val="false"/>
          <w:color w:val="000000"/>
        </w:rPr>
        <w:t xml:space="preserve"> 
Article 1</w:t>
      </w:r>
    </w:p>
    <w:bookmarkEnd w:id="5"/>
    <w:bookmarkStart w:name="z11" w:id="6"/>
    <w:p>
      <w:pPr>
        <w:spacing w:after="0"/>
        <w:ind w:left="0"/>
        <w:jc w:val="both"/>
      </w:pPr>
      <w:r>
        <w:rPr>
          <w:rFonts w:ascii="Times New Roman"/>
          <w:b w:val="false"/>
          <w:i w:val="false"/>
          <w:color w:val="000000"/>
          <w:sz w:val="28"/>
        </w:rPr>
        <w:t>
      1. Workers shall enjoy adequate protection against acts of anti-union discrimination in respect of their employment.</w:t>
      </w:r>
      <w:r>
        <w:br/>
      </w:r>
      <w:r>
        <w:rPr>
          <w:rFonts w:ascii="Times New Roman"/>
          <w:b w:val="false"/>
          <w:i w:val="false"/>
          <w:color w:val="000000"/>
          <w:sz w:val="28"/>
        </w:rPr>
        <w:t>
</w:t>
      </w:r>
      <w:r>
        <w:rPr>
          <w:rFonts w:ascii="Times New Roman"/>
          <w:b w:val="false"/>
          <w:i w:val="false"/>
          <w:color w:val="000000"/>
          <w:sz w:val="28"/>
        </w:rPr>
        <w:t xml:space="preserve">
      2. Such protection shall apply more particularly in respect of acts calculated to-- </w:t>
      </w:r>
      <w:r>
        <w:br/>
      </w:r>
      <w:r>
        <w:rPr>
          <w:rFonts w:ascii="Times New Roman"/>
          <w:b w:val="false"/>
          <w:i w:val="false"/>
          <w:color w:val="000000"/>
          <w:sz w:val="28"/>
        </w:rPr>
        <w:t>
</w:t>
      </w:r>
      <w:r>
        <w:rPr>
          <w:rFonts w:ascii="Times New Roman"/>
          <w:b w:val="false"/>
          <w:i w:val="false"/>
          <w:color w:val="000000"/>
          <w:sz w:val="28"/>
        </w:rPr>
        <w:t>
      (a) make the employment of a worker subject to the condition that he shall not join a union or shall relinquish trade union membership;</w:t>
      </w:r>
      <w:r>
        <w:br/>
      </w:r>
      <w:r>
        <w:rPr>
          <w:rFonts w:ascii="Times New Roman"/>
          <w:b w:val="false"/>
          <w:i w:val="false"/>
          <w:color w:val="000000"/>
          <w:sz w:val="28"/>
        </w:rPr>
        <w:t>
</w:t>
      </w:r>
      <w:r>
        <w:rPr>
          <w:rFonts w:ascii="Times New Roman"/>
          <w:b w:val="false"/>
          <w:i w:val="false"/>
          <w:color w:val="000000"/>
          <w:sz w:val="28"/>
        </w:rPr>
        <w:t>
      (b) cause the dismissal of or otherwise prejudice a worker by reason of union membership or because of participation in union activities outside working hours or, with the consent of the employer, within working hours.</w:t>
      </w:r>
    </w:p>
    <w:bookmarkEnd w:id="6"/>
    <w:bookmarkStart w:name="z15" w:id="7"/>
    <w:p>
      <w:pPr>
        <w:spacing w:after="0"/>
        <w:ind w:left="0"/>
        <w:jc w:val="left"/>
      </w:pPr>
      <w:r>
        <w:rPr>
          <w:rFonts w:ascii="Times New Roman"/>
          <w:b/>
          <w:i w:val="false"/>
          <w:color w:val="000000"/>
        </w:rPr>
        <w:t xml:space="preserve"> 
Article 2</w:t>
      </w:r>
    </w:p>
    <w:bookmarkEnd w:id="7"/>
    <w:bookmarkStart w:name="z16" w:id="8"/>
    <w:p>
      <w:pPr>
        <w:spacing w:after="0"/>
        <w:ind w:left="0"/>
        <w:jc w:val="both"/>
      </w:pPr>
      <w:r>
        <w:rPr>
          <w:rFonts w:ascii="Times New Roman"/>
          <w:b w:val="false"/>
          <w:i w:val="false"/>
          <w:color w:val="000000"/>
          <w:sz w:val="28"/>
        </w:rPr>
        <w:t>
      1. Workers' and employers' organisations shall enjoy adequate protection against any acts of interference by each other or each other's agents or members in their establishment, functioning or administration.</w:t>
      </w:r>
      <w:r>
        <w:br/>
      </w:r>
      <w:r>
        <w:rPr>
          <w:rFonts w:ascii="Times New Roman"/>
          <w:b w:val="false"/>
          <w:i w:val="false"/>
          <w:color w:val="000000"/>
          <w:sz w:val="28"/>
        </w:rPr>
        <w:t>
</w:t>
      </w:r>
      <w:r>
        <w:rPr>
          <w:rFonts w:ascii="Times New Roman"/>
          <w:b w:val="false"/>
          <w:i w:val="false"/>
          <w:color w:val="000000"/>
          <w:sz w:val="28"/>
        </w:rPr>
        <w:t>
      2. In particular, acts which are designed to promote the establishment of workers' organisations under the domination of employers or employers' organisations, or to support workers' organisations by financial or other means, with the object of placing such organisations under the control of employers or employers' organisations, shall be deemed to constitute acts of interference within the meaning of this Article.</w:t>
      </w:r>
    </w:p>
    <w:bookmarkEnd w:id="8"/>
    <w:bookmarkStart w:name="z18" w:id="9"/>
    <w:p>
      <w:pPr>
        <w:spacing w:after="0"/>
        <w:ind w:left="0"/>
        <w:jc w:val="left"/>
      </w:pPr>
      <w:r>
        <w:rPr>
          <w:rFonts w:ascii="Times New Roman"/>
          <w:b/>
          <w:i w:val="false"/>
          <w:color w:val="000000"/>
        </w:rPr>
        <w:t xml:space="preserve"> 
Article 3</w:t>
      </w:r>
    </w:p>
    <w:bookmarkEnd w:id="9"/>
    <w:bookmarkStart w:name="z19" w:id="10"/>
    <w:p>
      <w:pPr>
        <w:spacing w:after="0"/>
        <w:ind w:left="0"/>
        <w:jc w:val="both"/>
      </w:pPr>
      <w:r>
        <w:rPr>
          <w:rFonts w:ascii="Times New Roman"/>
          <w:b w:val="false"/>
          <w:i w:val="false"/>
          <w:color w:val="000000"/>
          <w:sz w:val="28"/>
        </w:rPr>
        <w:t>
      Machinery appropriate to national conditions shall be established, where necessary, for the purpose of ensuring respect for the right to organise as defined in the preceding Articles.</w:t>
      </w:r>
    </w:p>
    <w:bookmarkEnd w:id="10"/>
    <w:bookmarkStart w:name="z20" w:id="11"/>
    <w:p>
      <w:pPr>
        <w:spacing w:after="0"/>
        <w:ind w:left="0"/>
        <w:jc w:val="left"/>
      </w:pPr>
      <w:r>
        <w:rPr>
          <w:rFonts w:ascii="Times New Roman"/>
          <w:b/>
          <w:i w:val="false"/>
          <w:color w:val="000000"/>
        </w:rPr>
        <w:t xml:space="preserve"> 
Article 4</w:t>
      </w:r>
    </w:p>
    <w:bookmarkEnd w:id="11"/>
    <w:bookmarkStart w:name="z21" w:id="12"/>
    <w:p>
      <w:pPr>
        <w:spacing w:after="0"/>
        <w:ind w:left="0"/>
        <w:jc w:val="both"/>
      </w:pPr>
      <w:r>
        <w:rPr>
          <w:rFonts w:ascii="Times New Roman"/>
          <w:b w:val="false"/>
          <w:i w:val="false"/>
          <w:color w:val="000000"/>
          <w:sz w:val="28"/>
        </w:rPr>
        <w:t>
      Measures appropriate to national conditions shall be taken, where necessary, to encourage and promote the full development and utilisation of machinery for voluntary negotiation between employers or employers' organisations and workers' organisations, with a view to the regulation of terms and conditions of employment by means of collective agreements.</w:t>
      </w:r>
    </w:p>
    <w:bookmarkEnd w:id="12"/>
    <w:bookmarkStart w:name="z22" w:id="13"/>
    <w:p>
      <w:pPr>
        <w:spacing w:after="0"/>
        <w:ind w:left="0"/>
        <w:jc w:val="left"/>
      </w:pPr>
      <w:r>
        <w:rPr>
          <w:rFonts w:ascii="Times New Roman"/>
          <w:b/>
          <w:i w:val="false"/>
          <w:color w:val="000000"/>
        </w:rPr>
        <w:t xml:space="preserve"> 
Article 5</w:t>
      </w:r>
    </w:p>
    <w:bookmarkEnd w:id="13"/>
    <w:bookmarkStart w:name="z23" w:id="14"/>
    <w:p>
      <w:pPr>
        <w:spacing w:after="0"/>
        <w:ind w:left="0"/>
        <w:jc w:val="both"/>
      </w:pPr>
      <w:r>
        <w:rPr>
          <w:rFonts w:ascii="Times New Roman"/>
          <w:b w:val="false"/>
          <w:i w:val="false"/>
          <w:color w:val="000000"/>
          <w:sz w:val="28"/>
        </w:rPr>
        <w:t>
      1. The extent to which the guarantees provided for in this Convention shall apply to the armed forces and the police shall be determined by national laws or regulations.</w:t>
      </w:r>
      <w:r>
        <w:br/>
      </w:r>
      <w:r>
        <w:rPr>
          <w:rFonts w:ascii="Times New Roman"/>
          <w:b w:val="false"/>
          <w:i w:val="false"/>
          <w:color w:val="000000"/>
          <w:sz w:val="28"/>
        </w:rPr>
        <w:t>
</w:t>
      </w:r>
      <w:r>
        <w:rPr>
          <w:rFonts w:ascii="Times New Roman"/>
          <w:b w:val="false"/>
          <w:i w:val="false"/>
          <w:color w:val="000000"/>
          <w:sz w:val="28"/>
        </w:rPr>
        <w:t>
      2. In accordance with the principle set forth in paragraph 8 of Article 19 of the Constitution of the International Labour Organisation the ratification of this Convention by any Member shall not be deemed to affect any existing law, award, custom or agreement in virtue of which members of the armed forces or the police enjoy any right guaranteed by this Convention.</w:t>
      </w:r>
    </w:p>
    <w:bookmarkEnd w:id="14"/>
    <w:bookmarkStart w:name="z25" w:id="15"/>
    <w:p>
      <w:pPr>
        <w:spacing w:after="0"/>
        <w:ind w:left="0"/>
        <w:jc w:val="left"/>
      </w:pPr>
      <w:r>
        <w:rPr>
          <w:rFonts w:ascii="Times New Roman"/>
          <w:b/>
          <w:i w:val="false"/>
          <w:color w:val="000000"/>
        </w:rPr>
        <w:t xml:space="preserve"> 
Article 6</w:t>
      </w:r>
    </w:p>
    <w:bookmarkEnd w:id="15"/>
    <w:bookmarkStart w:name="z26" w:id="16"/>
    <w:p>
      <w:pPr>
        <w:spacing w:after="0"/>
        <w:ind w:left="0"/>
        <w:jc w:val="both"/>
      </w:pPr>
      <w:r>
        <w:rPr>
          <w:rFonts w:ascii="Times New Roman"/>
          <w:b w:val="false"/>
          <w:i w:val="false"/>
          <w:color w:val="000000"/>
          <w:sz w:val="28"/>
        </w:rPr>
        <w:t>
      This Convention does not deal with the position of public servants engaged in the administration of the State, nor shall it be construed as prejudicing their rights or status in any way.</w:t>
      </w:r>
    </w:p>
    <w:bookmarkEnd w:id="16"/>
    <w:bookmarkStart w:name="z27" w:id="17"/>
    <w:p>
      <w:pPr>
        <w:spacing w:after="0"/>
        <w:ind w:left="0"/>
        <w:jc w:val="left"/>
      </w:pPr>
      <w:r>
        <w:rPr>
          <w:rFonts w:ascii="Times New Roman"/>
          <w:b/>
          <w:i w:val="false"/>
          <w:color w:val="000000"/>
        </w:rPr>
        <w:t xml:space="preserve"> 
Article 7</w:t>
      </w:r>
    </w:p>
    <w:bookmarkEnd w:id="17"/>
    <w:bookmarkStart w:name="z28" w:id="18"/>
    <w:p>
      <w:pPr>
        <w:spacing w:after="0"/>
        <w:ind w:left="0"/>
        <w:jc w:val="both"/>
      </w:pPr>
      <w:r>
        <w:rPr>
          <w:rFonts w:ascii="Times New Roman"/>
          <w:b w:val="false"/>
          <w:i w:val="false"/>
          <w:color w:val="000000"/>
          <w:sz w:val="28"/>
        </w:rPr>
        <w:t>
      The formal ratifications of this Convention shall be communicated to the Director-General of the International Labour Office for registration.</w:t>
      </w:r>
    </w:p>
    <w:bookmarkEnd w:id="18"/>
    <w:bookmarkStart w:name="z29" w:id="19"/>
    <w:p>
      <w:pPr>
        <w:spacing w:after="0"/>
        <w:ind w:left="0"/>
        <w:jc w:val="left"/>
      </w:pPr>
      <w:r>
        <w:rPr>
          <w:rFonts w:ascii="Times New Roman"/>
          <w:b/>
          <w:i w:val="false"/>
          <w:color w:val="000000"/>
        </w:rPr>
        <w:t xml:space="preserve"> 
Article 8</w:t>
      </w:r>
    </w:p>
    <w:bookmarkEnd w:id="19"/>
    <w:bookmarkStart w:name="z30" w:id="20"/>
    <w:p>
      <w:pPr>
        <w:spacing w:after="0"/>
        <w:ind w:left="0"/>
        <w:jc w:val="both"/>
      </w:pPr>
      <w:r>
        <w:rPr>
          <w:rFonts w:ascii="Times New Roman"/>
          <w:b w:val="false"/>
          <w:i w:val="false"/>
          <w:color w:val="000000"/>
          <w:sz w:val="28"/>
        </w:rPr>
        <w:t>
      1. This Convention shall be binding only upon those Members of the International Labour Organisation whose ratifications have been registered with the Director-General.</w:t>
      </w:r>
      <w:r>
        <w:br/>
      </w:r>
      <w:r>
        <w:rPr>
          <w:rFonts w:ascii="Times New Roman"/>
          <w:b w:val="false"/>
          <w:i w:val="false"/>
          <w:color w:val="000000"/>
          <w:sz w:val="28"/>
        </w:rPr>
        <w:t>
</w:t>
      </w:r>
      <w:r>
        <w:rPr>
          <w:rFonts w:ascii="Times New Roman"/>
          <w:b w:val="false"/>
          <w:i w:val="false"/>
          <w:color w:val="000000"/>
          <w:sz w:val="28"/>
        </w:rPr>
        <w:t>
      2. It shall come into force twelve months after the date on which the ratifications of two Members have been registered with the Director-General.</w:t>
      </w:r>
      <w:r>
        <w:br/>
      </w:r>
      <w:r>
        <w:rPr>
          <w:rFonts w:ascii="Times New Roman"/>
          <w:b w:val="false"/>
          <w:i w:val="false"/>
          <w:color w:val="000000"/>
          <w:sz w:val="28"/>
        </w:rPr>
        <w:t>
</w:t>
      </w:r>
      <w:r>
        <w:rPr>
          <w:rFonts w:ascii="Times New Roman"/>
          <w:b w:val="false"/>
          <w:i w:val="false"/>
          <w:color w:val="000000"/>
          <w:sz w:val="28"/>
        </w:rPr>
        <w:t>
      3. Thereafter, this Convention shall come into force for any Member twelve months after the date on which its ratification has been registered.</w:t>
      </w:r>
    </w:p>
    <w:bookmarkEnd w:id="20"/>
    <w:bookmarkStart w:name="z33" w:id="21"/>
    <w:p>
      <w:pPr>
        <w:spacing w:after="0"/>
        <w:ind w:left="0"/>
        <w:jc w:val="left"/>
      </w:pPr>
      <w:r>
        <w:rPr>
          <w:rFonts w:ascii="Times New Roman"/>
          <w:b/>
          <w:i w:val="false"/>
          <w:color w:val="000000"/>
        </w:rPr>
        <w:t xml:space="preserve"> 
Article 9</w:t>
      </w:r>
    </w:p>
    <w:bookmarkEnd w:id="21"/>
    <w:bookmarkStart w:name="z34" w:id="22"/>
    <w:p>
      <w:pPr>
        <w:spacing w:after="0"/>
        <w:ind w:left="0"/>
        <w:jc w:val="both"/>
      </w:pPr>
      <w:r>
        <w:rPr>
          <w:rFonts w:ascii="Times New Roman"/>
          <w:b w:val="false"/>
          <w:i w:val="false"/>
          <w:color w:val="000000"/>
          <w:sz w:val="28"/>
        </w:rPr>
        <w:t xml:space="preserve">
      1. Declarations communicated to the Director-General of the International Labour Office in accordance with paragraph 2 of Article 35 of the Constitution of the International Labour Organisation shall indicate -- </w:t>
      </w:r>
      <w:r>
        <w:br/>
      </w:r>
      <w:r>
        <w:rPr>
          <w:rFonts w:ascii="Times New Roman"/>
          <w:b w:val="false"/>
          <w:i w:val="false"/>
          <w:color w:val="000000"/>
          <w:sz w:val="28"/>
        </w:rPr>
        <w:t>
</w:t>
      </w:r>
      <w:r>
        <w:rPr>
          <w:rFonts w:ascii="Times New Roman"/>
          <w:b w:val="false"/>
          <w:i w:val="false"/>
          <w:color w:val="000000"/>
          <w:sz w:val="28"/>
        </w:rPr>
        <w:t>
      (a) the territories in respect of which the Member concerned undertakes that the provisions of the Convention shall be applied without modification;</w:t>
      </w:r>
      <w:r>
        <w:br/>
      </w:r>
      <w:r>
        <w:rPr>
          <w:rFonts w:ascii="Times New Roman"/>
          <w:b w:val="false"/>
          <w:i w:val="false"/>
          <w:color w:val="000000"/>
          <w:sz w:val="28"/>
        </w:rPr>
        <w:t>
</w:t>
      </w:r>
      <w:r>
        <w:rPr>
          <w:rFonts w:ascii="Times New Roman"/>
          <w:b w:val="false"/>
          <w:i w:val="false"/>
          <w:color w:val="000000"/>
          <w:sz w:val="28"/>
        </w:rPr>
        <w:t>
      (b) the territories in respect of which it undertakes that the provisions of the Convention shall be applied subject to modifications, together with details of the said modifications;</w:t>
      </w:r>
      <w:r>
        <w:br/>
      </w:r>
      <w:r>
        <w:rPr>
          <w:rFonts w:ascii="Times New Roman"/>
          <w:b w:val="false"/>
          <w:i w:val="false"/>
          <w:color w:val="000000"/>
          <w:sz w:val="28"/>
        </w:rPr>
        <w:t>
</w:t>
      </w:r>
      <w:r>
        <w:rPr>
          <w:rFonts w:ascii="Times New Roman"/>
          <w:b w:val="false"/>
          <w:i w:val="false"/>
          <w:color w:val="000000"/>
          <w:sz w:val="28"/>
        </w:rPr>
        <w:t>
      (c) the territories in respect of which the Convention is inapplicable and in such cases the grounds on which it is inapplicable;</w:t>
      </w:r>
      <w:r>
        <w:br/>
      </w:r>
      <w:r>
        <w:rPr>
          <w:rFonts w:ascii="Times New Roman"/>
          <w:b w:val="false"/>
          <w:i w:val="false"/>
          <w:color w:val="000000"/>
          <w:sz w:val="28"/>
        </w:rPr>
        <w:t>
</w:t>
      </w:r>
      <w:r>
        <w:rPr>
          <w:rFonts w:ascii="Times New Roman"/>
          <w:b w:val="false"/>
          <w:i w:val="false"/>
          <w:color w:val="000000"/>
          <w:sz w:val="28"/>
        </w:rPr>
        <w:t>
      (d) the territories in respect of which it reserves its decision pending further consideration of the position.</w:t>
      </w:r>
      <w:r>
        <w:br/>
      </w:r>
      <w:r>
        <w:rPr>
          <w:rFonts w:ascii="Times New Roman"/>
          <w:b w:val="false"/>
          <w:i w:val="false"/>
          <w:color w:val="000000"/>
          <w:sz w:val="28"/>
        </w:rPr>
        <w:t>
</w:t>
      </w:r>
      <w:r>
        <w:rPr>
          <w:rFonts w:ascii="Times New Roman"/>
          <w:b w:val="false"/>
          <w:i w:val="false"/>
          <w:color w:val="000000"/>
          <w:sz w:val="28"/>
        </w:rPr>
        <w:t>
      2. The undertakings referred to in subparagraphs (a) and (b) of paragraph 1 of this Article shall be deemed to be an integral part of the ratification and shall have the force of ratification.</w:t>
      </w:r>
      <w:r>
        <w:br/>
      </w:r>
      <w:r>
        <w:rPr>
          <w:rFonts w:ascii="Times New Roman"/>
          <w:b w:val="false"/>
          <w:i w:val="false"/>
          <w:color w:val="000000"/>
          <w:sz w:val="28"/>
        </w:rPr>
        <w:t>
</w:t>
      </w:r>
      <w:r>
        <w:rPr>
          <w:rFonts w:ascii="Times New Roman"/>
          <w:b w:val="false"/>
          <w:i w:val="false"/>
          <w:color w:val="000000"/>
          <w:sz w:val="28"/>
        </w:rPr>
        <w:t>
      3. Any Member may at any time by a subsequent declaration cancel in whole or in part any reservation made in its original declaration in virtue of subparagraph (b), (c) or (d) of paragraph 1 of this Article.</w:t>
      </w:r>
      <w:r>
        <w:br/>
      </w:r>
      <w:r>
        <w:rPr>
          <w:rFonts w:ascii="Times New Roman"/>
          <w:b w:val="false"/>
          <w:i w:val="false"/>
          <w:color w:val="000000"/>
          <w:sz w:val="28"/>
        </w:rPr>
        <w:t>
</w:t>
      </w:r>
      <w:r>
        <w:rPr>
          <w:rFonts w:ascii="Times New Roman"/>
          <w:b w:val="false"/>
          <w:i w:val="false"/>
          <w:color w:val="000000"/>
          <w:sz w:val="28"/>
        </w:rPr>
        <w:t>
      4. Any Member may, at any time at which the Convention is subject to denunciation in accordance with the provisions of Article 11, communicate to the Director-General a declaration modifying in any other respect the terms of any former declaration and stating the present position in respect of such territories as it may specify.</w:t>
      </w:r>
    </w:p>
    <w:bookmarkEnd w:id="22"/>
    <w:bookmarkStart w:name="z42" w:id="23"/>
    <w:p>
      <w:pPr>
        <w:spacing w:after="0"/>
        <w:ind w:left="0"/>
        <w:jc w:val="left"/>
      </w:pPr>
      <w:r>
        <w:rPr>
          <w:rFonts w:ascii="Times New Roman"/>
          <w:b/>
          <w:i w:val="false"/>
          <w:color w:val="000000"/>
        </w:rPr>
        <w:t xml:space="preserve"> 
Article 10</w:t>
      </w:r>
    </w:p>
    <w:bookmarkEnd w:id="23"/>
    <w:bookmarkStart w:name="z43" w:id="24"/>
    <w:p>
      <w:pPr>
        <w:spacing w:after="0"/>
        <w:ind w:left="0"/>
        <w:jc w:val="both"/>
      </w:pPr>
      <w:r>
        <w:rPr>
          <w:rFonts w:ascii="Times New Roman"/>
          <w:b w:val="false"/>
          <w:i w:val="false"/>
          <w:color w:val="000000"/>
          <w:sz w:val="28"/>
        </w:rPr>
        <w:t>
      1. Declarations communicated to the Director-General of the International Labour Office in accordance with paragraph 4 or 5 of Article 35 of the Constitution of the International Labour Organisation shall indicate whether the provisions of the Convention will be applied in the territory concerned without modification or subject to modifications; when the declaration indicates that the provisions of the Convention will be applied subject to modifications, it shall give details of the said modifications.</w:t>
      </w:r>
      <w:r>
        <w:br/>
      </w:r>
      <w:r>
        <w:rPr>
          <w:rFonts w:ascii="Times New Roman"/>
          <w:b w:val="false"/>
          <w:i w:val="false"/>
          <w:color w:val="000000"/>
          <w:sz w:val="28"/>
        </w:rPr>
        <w:t>
</w:t>
      </w:r>
      <w:r>
        <w:rPr>
          <w:rFonts w:ascii="Times New Roman"/>
          <w:b w:val="false"/>
          <w:i w:val="false"/>
          <w:color w:val="000000"/>
          <w:sz w:val="28"/>
        </w:rPr>
        <w:t>
      2. The Member, Members or international authority concerned may at any time by a subsequent declaration renounce in whole or in part the right to have recourse to any modification indicated in any former declaration.</w:t>
      </w:r>
      <w:r>
        <w:br/>
      </w:r>
      <w:r>
        <w:rPr>
          <w:rFonts w:ascii="Times New Roman"/>
          <w:b w:val="false"/>
          <w:i w:val="false"/>
          <w:color w:val="000000"/>
          <w:sz w:val="28"/>
        </w:rPr>
        <w:t>
</w:t>
      </w:r>
      <w:r>
        <w:rPr>
          <w:rFonts w:ascii="Times New Roman"/>
          <w:b w:val="false"/>
          <w:i w:val="false"/>
          <w:color w:val="000000"/>
          <w:sz w:val="28"/>
        </w:rPr>
        <w:t>
      3. The Member, Members or international authority concerned may, at any time at which this Convention is subject to denunciation in accordance with the provisions of Article 11, communicate to the Director-General a declaration modifying in any other respect the terms of any former declaration and stating the present position in respect of the application of the Convention.</w:t>
      </w:r>
    </w:p>
    <w:bookmarkEnd w:id="24"/>
    <w:bookmarkStart w:name="z46" w:id="25"/>
    <w:p>
      <w:pPr>
        <w:spacing w:after="0"/>
        <w:ind w:left="0"/>
        <w:jc w:val="left"/>
      </w:pPr>
      <w:r>
        <w:rPr>
          <w:rFonts w:ascii="Times New Roman"/>
          <w:b/>
          <w:i w:val="false"/>
          <w:color w:val="000000"/>
        </w:rPr>
        <w:t xml:space="preserve"> 
Article 11</w:t>
      </w:r>
    </w:p>
    <w:bookmarkEnd w:id="25"/>
    <w:bookmarkStart w:name="z47" w:id="26"/>
    <w:p>
      <w:pPr>
        <w:spacing w:after="0"/>
        <w:ind w:left="0"/>
        <w:jc w:val="both"/>
      </w:pPr>
      <w:r>
        <w:rPr>
          <w:rFonts w:ascii="Times New Roman"/>
          <w:b w:val="false"/>
          <w:i w:val="false"/>
          <w:color w:val="000000"/>
          <w:sz w:val="28"/>
        </w:rPr>
        <w:t>
      1. A Member which has ratified this Convention may denounce it after the expiration of ten years from the date on which the Convention first comes into force, by an act communicated to the Director-General of the International Labour Office for registration. Such denunciation shall not take effect until one year after the date on which it is registered.</w:t>
      </w:r>
      <w:r>
        <w:br/>
      </w:r>
      <w:r>
        <w:rPr>
          <w:rFonts w:ascii="Times New Roman"/>
          <w:b w:val="false"/>
          <w:i w:val="false"/>
          <w:color w:val="000000"/>
          <w:sz w:val="28"/>
        </w:rPr>
        <w:t>
</w:t>
      </w:r>
      <w:r>
        <w:rPr>
          <w:rFonts w:ascii="Times New Roman"/>
          <w:b w:val="false"/>
          <w:i w:val="false"/>
          <w:color w:val="000000"/>
          <w:sz w:val="28"/>
        </w:rPr>
        <w:t>
      2. Each Member which has ratified this Convention and which does not, within the year following the expiration of the period of ten years mentioned in the preceding paragraph, exercise the right of denunciation provided for in this Article, will be bound for another period of ten years and, thereafter, may denounce this Convention at the expiration of each period of ten years under the terms provided for in this Article.</w:t>
      </w:r>
    </w:p>
    <w:bookmarkEnd w:id="26"/>
    <w:bookmarkStart w:name="z49" w:id="27"/>
    <w:p>
      <w:pPr>
        <w:spacing w:after="0"/>
        <w:ind w:left="0"/>
        <w:jc w:val="left"/>
      </w:pPr>
      <w:r>
        <w:rPr>
          <w:rFonts w:ascii="Times New Roman"/>
          <w:b/>
          <w:i w:val="false"/>
          <w:color w:val="000000"/>
        </w:rPr>
        <w:t xml:space="preserve"> 
Article 12</w:t>
      </w:r>
    </w:p>
    <w:bookmarkEnd w:id="27"/>
    <w:bookmarkStart w:name="z50" w:id="28"/>
    <w:p>
      <w:pPr>
        <w:spacing w:after="0"/>
        <w:ind w:left="0"/>
        <w:jc w:val="both"/>
      </w:pPr>
      <w:r>
        <w:rPr>
          <w:rFonts w:ascii="Times New Roman"/>
          <w:b w:val="false"/>
          <w:i w:val="false"/>
          <w:color w:val="000000"/>
          <w:sz w:val="28"/>
        </w:rPr>
        <w:t>
      1. The Director-General of the International Labour Office shall notify all Members of the International Labour Organisation of the registration of all ratifications, declarations and denunciations communicated to him by the Members of the Organisation.</w:t>
      </w:r>
      <w:r>
        <w:br/>
      </w:r>
      <w:r>
        <w:rPr>
          <w:rFonts w:ascii="Times New Roman"/>
          <w:b w:val="false"/>
          <w:i w:val="false"/>
          <w:color w:val="000000"/>
          <w:sz w:val="28"/>
        </w:rPr>
        <w:t>
</w:t>
      </w:r>
      <w:r>
        <w:rPr>
          <w:rFonts w:ascii="Times New Roman"/>
          <w:b w:val="false"/>
          <w:i w:val="false"/>
          <w:color w:val="000000"/>
          <w:sz w:val="28"/>
        </w:rPr>
        <w:t>
      2. When notifying the Members of the Organisation of the registration of the second ratification communicated to him, the Director-General shall draw the attention of the Members of the Organisation to the date upon which the Convention will come into force.</w:t>
      </w:r>
    </w:p>
    <w:bookmarkEnd w:id="28"/>
    <w:bookmarkStart w:name="z52" w:id="29"/>
    <w:p>
      <w:pPr>
        <w:spacing w:after="0"/>
        <w:ind w:left="0"/>
        <w:jc w:val="left"/>
      </w:pPr>
      <w:r>
        <w:rPr>
          <w:rFonts w:ascii="Times New Roman"/>
          <w:b/>
          <w:i w:val="false"/>
          <w:color w:val="000000"/>
        </w:rPr>
        <w:t xml:space="preserve"> 
Article 13</w:t>
      </w:r>
    </w:p>
    <w:bookmarkEnd w:id="29"/>
    <w:bookmarkStart w:name="z53" w:id="30"/>
    <w:p>
      <w:pPr>
        <w:spacing w:after="0"/>
        <w:ind w:left="0"/>
        <w:jc w:val="both"/>
      </w:pPr>
      <w:r>
        <w:rPr>
          <w:rFonts w:ascii="Times New Roman"/>
          <w:b w:val="false"/>
          <w:i w:val="false"/>
          <w:color w:val="000000"/>
          <w:sz w:val="28"/>
        </w:rPr>
        <w:t>
      The Director-General of the International Labour Office shall communicate to the Secretary-General of the United Nations for registration in accordance with Article 102 of the Charter of the United Nations full particulars of all ratifications, declarations and acts of denunciation registered by him in accordance with the provisions of the preceding articles.</w:t>
      </w:r>
    </w:p>
    <w:bookmarkEnd w:id="30"/>
    <w:bookmarkStart w:name="z54" w:id="31"/>
    <w:p>
      <w:pPr>
        <w:spacing w:after="0"/>
        <w:ind w:left="0"/>
        <w:jc w:val="left"/>
      </w:pPr>
      <w:r>
        <w:rPr>
          <w:rFonts w:ascii="Times New Roman"/>
          <w:b/>
          <w:i w:val="false"/>
          <w:color w:val="000000"/>
        </w:rPr>
        <w:t xml:space="preserve"> 
Article 14</w:t>
      </w:r>
    </w:p>
    <w:bookmarkEnd w:id="31"/>
    <w:bookmarkStart w:name="z55" w:id="32"/>
    <w:p>
      <w:pPr>
        <w:spacing w:after="0"/>
        <w:ind w:left="0"/>
        <w:jc w:val="both"/>
      </w:pPr>
      <w:r>
        <w:rPr>
          <w:rFonts w:ascii="Times New Roman"/>
          <w:b w:val="false"/>
          <w:i w:val="false"/>
          <w:color w:val="000000"/>
          <w:sz w:val="28"/>
        </w:rPr>
        <w:t>
      At such times as it may consider necessary the Governing Body of the International Labour Office shall present to the General Conference a report on the working of this Convention and shall examine the desirability of placing on the agenda of the Conference the question of its revision in whole or in part.</w:t>
      </w:r>
    </w:p>
    <w:bookmarkEnd w:id="32"/>
    <w:bookmarkStart w:name="z56" w:id="33"/>
    <w:p>
      <w:pPr>
        <w:spacing w:after="0"/>
        <w:ind w:left="0"/>
        <w:jc w:val="left"/>
      </w:pPr>
      <w:r>
        <w:rPr>
          <w:rFonts w:ascii="Times New Roman"/>
          <w:b/>
          <w:i w:val="false"/>
          <w:color w:val="000000"/>
        </w:rPr>
        <w:t xml:space="preserve"> 
Article 15</w:t>
      </w:r>
    </w:p>
    <w:bookmarkEnd w:id="33"/>
    <w:bookmarkStart w:name="z57" w:id="34"/>
    <w:p>
      <w:pPr>
        <w:spacing w:after="0"/>
        <w:ind w:left="0"/>
        <w:jc w:val="both"/>
      </w:pPr>
      <w:r>
        <w:rPr>
          <w:rFonts w:ascii="Times New Roman"/>
          <w:b w:val="false"/>
          <w:i w:val="false"/>
          <w:color w:val="000000"/>
          <w:sz w:val="28"/>
        </w:rPr>
        <w:t xml:space="preserve">
      1. Should the Conference adopt a new Convention revising this Convention in whole or in part, then, unless the new Convention otherwise provides, </w:t>
      </w:r>
      <w:r>
        <w:br/>
      </w:r>
      <w:r>
        <w:rPr>
          <w:rFonts w:ascii="Times New Roman"/>
          <w:b w:val="false"/>
          <w:i w:val="false"/>
          <w:color w:val="000000"/>
          <w:sz w:val="28"/>
        </w:rPr>
        <w:t>
</w:t>
      </w:r>
      <w:r>
        <w:rPr>
          <w:rFonts w:ascii="Times New Roman"/>
          <w:b w:val="false"/>
          <w:i w:val="false"/>
          <w:color w:val="000000"/>
          <w:sz w:val="28"/>
        </w:rPr>
        <w:t>
      (a) the ratification by a Member of the new revising Convention shall ipso jure involve the immediate denunciation of this Convention, notwithstanding the provisions of Article 11 above, if and when the new revising Convention shall have come into force;</w:t>
      </w:r>
      <w:r>
        <w:br/>
      </w:r>
      <w:r>
        <w:rPr>
          <w:rFonts w:ascii="Times New Roman"/>
          <w:b w:val="false"/>
          <w:i w:val="false"/>
          <w:color w:val="000000"/>
          <w:sz w:val="28"/>
        </w:rPr>
        <w:t>
</w:t>
      </w:r>
      <w:r>
        <w:rPr>
          <w:rFonts w:ascii="Times New Roman"/>
          <w:b w:val="false"/>
          <w:i w:val="false"/>
          <w:color w:val="000000"/>
          <w:sz w:val="28"/>
        </w:rPr>
        <w:t>
      (b) as from the date when the new revising Convention comes into force, this Convention shall cease to be open to ratification by the Members.</w:t>
      </w:r>
      <w:r>
        <w:br/>
      </w:r>
      <w:r>
        <w:rPr>
          <w:rFonts w:ascii="Times New Roman"/>
          <w:b w:val="false"/>
          <w:i w:val="false"/>
          <w:color w:val="000000"/>
          <w:sz w:val="28"/>
        </w:rPr>
        <w:t>
</w:t>
      </w:r>
      <w:r>
        <w:rPr>
          <w:rFonts w:ascii="Times New Roman"/>
          <w:b w:val="false"/>
          <w:i w:val="false"/>
          <w:color w:val="000000"/>
          <w:sz w:val="28"/>
        </w:rPr>
        <w:t>
      2. This Convention shall in any case remain in force in its actual form and content for those Members which have ratified it but have not ratified the revising Convention.</w:t>
      </w:r>
    </w:p>
    <w:bookmarkEnd w:id="34"/>
    <w:bookmarkStart w:name="z61" w:id="35"/>
    <w:p>
      <w:pPr>
        <w:spacing w:after="0"/>
        <w:ind w:left="0"/>
        <w:jc w:val="left"/>
      </w:pPr>
      <w:r>
        <w:rPr>
          <w:rFonts w:ascii="Times New Roman"/>
          <w:b/>
          <w:i w:val="false"/>
          <w:color w:val="000000"/>
        </w:rPr>
        <w:t xml:space="preserve"> 
Article 16</w:t>
      </w:r>
    </w:p>
    <w:bookmarkEnd w:id="35"/>
    <w:bookmarkStart w:name="z62" w:id="36"/>
    <w:p>
      <w:pPr>
        <w:spacing w:after="0"/>
        <w:ind w:left="0"/>
        <w:jc w:val="both"/>
      </w:pPr>
      <w:r>
        <w:rPr>
          <w:rFonts w:ascii="Times New Roman"/>
          <w:b w:val="false"/>
          <w:i w:val="false"/>
          <w:color w:val="000000"/>
          <w:sz w:val="28"/>
        </w:rPr>
        <w:t xml:space="preserve">
      The English and French versions of the text of this Convention are equally authoritative. </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