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109d" w14:textId="44d1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to determine the cost of research, consulting services and state assignments in the field of state audit and financial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Accounts Committee for Control over Execution of the Republican Budget dated September 1, 2021 № 10-НҚ. Registered in the Ministry of Justice of the Republic of Kazakhstan on September 2, 2021 № 24213. Abrogated by the regulatory resolution of the Supreme Audit Chamber of the Republic of Kazakhstan dated 29.05.2025 № 5-NK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regulatory resolution of the Supreme Audit Chamber of the Republic of Kazakhstan dated 29.05.2025 № 5-NK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5 of Article 34 of the Budget Code of the Republic of Kazakhstan, the Supreme Audit Chamber of the Republic of Kazakhstan (hereinafter referred to as the Supreme Audit Chamber)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1. To approve the Rules to determine the cost of research, consulting services and state assignments in the field of state audit and financial control in accordance with the appendix to this regulatory resolution. </w:t>
      </w:r>
    </w:p>
    <w:bookmarkEnd w:id="0"/>
    <w:bookmarkStart w:name="z1" w:id="1"/>
    <w:p>
      <w:pPr>
        <w:spacing w:after="0"/>
        <w:ind w:left="0"/>
        <w:jc w:val="both"/>
      </w:pPr>
      <w:r>
        <w:rPr>
          <w:rFonts w:ascii="Times New Roman"/>
          <w:b w:val="false"/>
          <w:i w:val="false"/>
          <w:color w:val="000000"/>
          <w:sz w:val="28"/>
        </w:rPr>
        <w:t>
      2. The Department of Methodology and Quality Control of the Accounts Committee in the procedure established by the legislation of the Republic of Kazakhstan to ensure:</w:t>
      </w:r>
    </w:p>
    <w:bookmarkEnd w:id="1"/>
    <w:p>
      <w:pPr>
        <w:spacing w:after="0"/>
        <w:ind w:left="0"/>
        <w:jc w:val="both"/>
      </w:pPr>
      <w:r>
        <w:rPr>
          <w:rFonts w:ascii="Times New Roman"/>
          <w:b w:val="false"/>
          <w:i w:val="false"/>
          <w:color w:val="000000"/>
          <w:sz w:val="28"/>
        </w:rPr>
        <w:t>
      1) state registration of this regulatory resolution in the Ministry of Justice of the Republic of Kazakhstan;</w:t>
      </w:r>
    </w:p>
    <w:p>
      <w:pPr>
        <w:spacing w:after="0"/>
        <w:ind w:left="0"/>
        <w:jc w:val="both"/>
      </w:pPr>
      <w:r>
        <w:rPr>
          <w:rFonts w:ascii="Times New Roman"/>
          <w:b w:val="false"/>
          <w:i w:val="false"/>
          <w:color w:val="000000"/>
          <w:sz w:val="28"/>
        </w:rPr>
        <w:t>
      2) placement of this regulatory resolution on the Internet resource of the Accounts Committee.</w:t>
      </w:r>
    </w:p>
    <w:bookmarkStart w:name="z2" w:id="2"/>
    <w:p>
      <w:pPr>
        <w:spacing w:after="0"/>
        <w:ind w:left="0"/>
        <w:jc w:val="both"/>
      </w:pPr>
      <w:r>
        <w:rPr>
          <w:rFonts w:ascii="Times New Roman"/>
          <w:b w:val="false"/>
          <w:i w:val="false"/>
          <w:color w:val="000000"/>
          <w:sz w:val="28"/>
        </w:rPr>
        <w:t>
      3. Control over the execution of this regulatory resolution is assigned to the head of the apparatus of the Accounts Committee.</w:t>
      </w:r>
    </w:p>
    <w:bookmarkEnd w:id="2"/>
    <w:bookmarkStart w:name="z3" w:id="3"/>
    <w:p>
      <w:pPr>
        <w:spacing w:after="0"/>
        <w:ind w:left="0"/>
        <w:jc w:val="both"/>
      </w:pPr>
      <w:r>
        <w:rPr>
          <w:rFonts w:ascii="Times New Roman"/>
          <w:b w:val="false"/>
          <w:i w:val="false"/>
          <w:color w:val="000000"/>
          <w:sz w:val="28"/>
        </w:rPr>
        <w:t>
      4. This regulatory resolution comes into force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Accounts </w:t>
            </w:r>
          </w:p>
          <w:p>
            <w:pPr>
              <w:spacing w:after="20"/>
              <w:ind w:left="20"/>
              <w:jc w:val="both"/>
            </w:pPr>
          </w:p>
          <w:p>
            <w:pPr>
              <w:spacing w:after="20"/>
              <w:ind w:left="20"/>
              <w:jc w:val="both"/>
            </w:pPr>
            <w:r>
              <w:rPr>
                <w:rFonts w:ascii="Times New Roman"/>
                <w:b w:val="false"/>
                <w:i/>
                <w:color w:val="000000"/>
                <w:sz w:val="20"/>
              </w:rPr>
              <w:t xml:space="preserve">Committee for control over </w:t>
            </w:r>
          </w:p>
          <w:p>
            <w:pPr>
              <w:spacing w:after="20"/>
              <w:ind w:left="20"/>
              <w:jc w:val="both"/>
            </w:pPr>
            <w:r>
              <w:rPr>
                <w:rFonts w:ascii="Times New Roman"/>
                <w:b w:val="false"/>
                <w:i/>
                <w:color w:val="000000"/>
                <w:sz w:val="20"/>
              </w:rPr>
              <w:t xml:space="preserve">execution of the republican budget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 Godunova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regulatory resolution of the </w:t>
            </w:r>
            <w:r>
              <w:br/>
            </w:r>
            <w:r>
              <w:rPr>
                <w:rFonts w:ascii="Times New Roman"/>
                <w:b w:val="false"/>
                <w:i w:val="false"/>
                <w:color w:val="000000"/>
                <w:sz w:val="20"/>
              </w:rPr>
              <w:t xml:space="preserve">Account Committee for control over </w:t>
            </w:r>
            <w:r>
              <w:br/>
            </w:r>
            <w:r>
              <w:rPr>
                <w:rFonts w:ascii="Times New Roman"/>
                <w:b w:val="false"/>
                <w:i w:val="false"/>
                <w:color w:val="000000"/>
                <w:sz w:val="20"/>
              </w:rPr>
              <w:t xml:space="preserve">execution of the republican budget </w:t>
            </w:r>
            <w:r>
              <w:br/>
            </w:r>
            <w:r>
              <w:rPr>
                <w:rFonts w:ascii="Times New Roman"/>
                <w:b w:val="false"/>
                <w:i w:val="false"/>
                <w:color w:val="000000"/>
                <w:sz w:val="20"/>
              </w:rPr>
              <w:t>dated September 1, 2021 № 10-НҚ</w:t>
            </w:r>
          </w:p>
        </w:tc>
      </w:tr>
    </w:tbl>
    <w:bookmarkStart w:name="z5" w:id="4"/>
    <w:p>
      <w:pPr>
        <w:spacing w:after="0"/>
        <w:ind w:left="0"/>
        <w:jc w:val="left"/>
      </w:pPr>
      <w:r>
        <w:rPr>
          <w:rFonts w:ascii="Times New Roman"/>
          <w:b/>
          <w:i w:val="false"/>
          <w:color w:val="000000"/>
        </w:rPr>
        <w:t xml:space="preserve"> The Rules to determine the cost of research, consulting services and state assignments in the field of state audit and financial control</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Determining the cost of research, consulting services and government assignments in the field of state audit and financial control (hereinafter referred to as the Rules) have been developed in accordance with paragraph 5 of Article 34 of the Budget Code of the Republic of Kazakhstan and determine the procedure for determining the cost of research, consulting services and government assignments in the field of state audit and financial control when forming a budget applications of the Supreme Audit Chamber of the Republic of Kazakhstan (hereinafter – The Supreme Audit Chamber) for the next planning period.</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The following basic concepts are used in these Rules:</w:t>
      </w:r>
    </w:p>
    <w:bookmarkEnd w:id="7"/>
    <w:p>
      <w:pPr>
        <w:spacing w:after="0"/>
        <w:ind w:left="0"/>
        <w:jc w:val="both"/>
      </w:pPr>
      <w:r>
        <w:rPr>
          <w:rFonts w:ascii="Times New Roman"/>
          <w:b w:val="false"/>
          <w:i w:val="false"/>
          <w:color w:val="000000"/>
          <w:sz w:val="28"/>
        </w:rPr>
        <w:t>
      1) executor – a legal entity fulfilling the state assignment of the Supreme Audit Chamber for conducting research, providing consulting services in the field of state audit and financial control at the expense of the republican budget;</w:t>
      </w:r>
    </w:p>
    <w:p>
      <w:pPr>
        <w:spacing w:after="0"/>
        <w:ind w:left="0"/>
        <w:jc w:val="both"/>
      </w:pPr>
      <w:r>
        <w:rPr>
          <w:rFonts w:ascii="Times New Roman"/>
          <w:b w:val="false"/>
          <w:i w:val="false"/>
          <w:color w:val="000000"/>
          <w:sz w:val="28"/>
        </w:rPr>
        <w:t>
      2) research is an event aimed at studying and comprehensively analyzing the subject, taking into account foreign experience, obtaining reliable data for their subsequent use in solving existing problems, as well as developing proposals for solving state tasks and implementing state policy in the field of state audit and financial control;</w:t>
      </w:r>
    </w:p>
    <w:p>
      <w:pPr>
        <w:spacing w:after="0"/>
        <w:ind w:left="0"/>
        <w:jc w:val="both"/>
      </w:pPr>
      <w:r>
        <w:rPr>
          <w:rFonts w:ascii="Times New Roman"/>
          <w:b w:val="false"/>
          <w:i w:val="false"/>
          <w:color w:val="000000"/>
          <w:sz w:val="28"/>
        </w:rPr>
        <w:t>
      3) consulting services – services provided for methodological, analytical and organizational support for evaluating the effectiveness of the central state and local executive bodies of regions, cities of republican significance, the capital, as well as conducting a rating of regions and cities on the ease of doing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Chapter 2. Procedure to determine the cost of research, consulting services and state assignments in the field of state audit and financial control</w:t>
      </w:r>
    </w:p>
    <w:bookmarkEnd w:id="8"/>
    <w:bookmarkStart w:name="z13" w:id="9"/>
    <w:p>
      <w:pPr>
        <w:spacing w:after="0"/>
        <w:ind w:left="0"/>
        <w:jc w:val="both"/>
      </w:pPr>
      <w:r>
        <w:rPr>
          <w:rFonts w:ascii="Times New Roman"/>
          <w:b w:val="false"/>
          <w:i w:val="false"/>
          <w:color w:val="000000"/>
          <w:sz w:val="28"/>
        </w:rPr>
        <w:t xml:space="preserve">
      3. When determining the cost of research, consulting services and state assignments (hereinafter referred to as the services), the contractor’s direct and indirect expenses are taken into account, confirmed by substantiating documents indicated in the calculation of the cost of services in accordance with the Appendix to these Rules. </w:t>
      </w:r>
    </w:p>
    <w:bookmarkEnd w:id="9"/>
    <w:bookmarkStart w:name="z14" w:id="10"/>
    <w:p>
      <w:pPr>
        <w:spacing w:after="0"/>
        <w:ind w:left="0"/>
        <w:jc w:val="both"/>
      </w:pPr>
      <w:r>
        <w:rPr>
          <w:rFonts w:ascii="Times New Roman"/>
          <w:b w:val="false"/>
          <w:i w:val="false"/>
          <w:color w:val="000000"/>
          <w:sz w:val="28"/>
        </w:rPr>
        <w:t>
      4. The direct expenses of the contractor include expenses directly related to the provision of the service.</w:t>
      </w:r>
    </w:p>
    <w:bookmarkEnd w:id="10"/>
    <w:p>
      <w:pPr>
        <w:spacing w:after="0"/>
        <w:ind w:left="0"/>
        <w:jc w:val="both"/>
      </w:pPr>
      <w:r>
        <w:rPr>
          <w:rFonts w:ascii="Times New Roman"/>
          <w:b w:val="false"/>
          <w:i w:val="false"/>
          <w:color w:val="000000"/>
          <w:sz w:val="28"/>
        </w:rPr>
        <w:t>
      The indirect expenses of the contractor include the expenses necessary to ensure the activities of the contractor as a whole, but not directly consumed in the process of providing the service.</w:t>
      </w:r>
    </w:p>
    <w:p>
      <w:pPr>
        <w:spacing w:after="0"/>
        <w:ind w:left="0"/>
        <w:jc w:val="both"/>
      </w:pPr>
      <w:r>
        <w:rPr>
          <w:rFonts w:ascii="Times New Roman"/>
          <w:b w:val="false"/>
          <w:i w:val="false"/>
          <w:color w:val="000000"/>
          <w:sz w:val="28"/>
        </w:rPr>
        <w:t xml:space="preserve">
      The amount of indirect expenses is not more than 30 percent of the amount of budget funds allocated for provision of services for each budget subprogram for the corresponding financial year. </w:t>
      </w:r>
    </w:p>
    <w:bookmarkStart w:name="z15" w:id="11"/>
    <w:p>
      <w:pPr>
        <w:spacing w:after="0"/>
        <w:ind w:left="0"/>
        <w:jc w:val="both"/>
      </w:pPr>
      <w:r>
        <w:rPr>
          <w:rFonts w:ascii="Times New Roman"/>
          <w:b w:val="false"/>
          <w:i w:val="false"/>
          <w:color w:val="000000"/>
          <w:sz w:val="28"/>
        </w:rPr>
        <w:t>
      5. The basis for calculating the cost of the service is a direct method of accounting for expenses.</w:t>
      </w:r>
    </w:p>
    <w:bookmarkEnd w:id="11"/>
    <w:p>
      <w:pPr>
        <w:spacing w:after="0"/>
        <w:ind w:left="0"/>
        <w:jc w:val="both"/>
      </w:pPr>
      <w:r>
        <w:rPr>
          <w:rFonts w:ascii="Times New Roman"/>
          <w:b w:val="false"/>
          <w:i w:val="false"/>
          <w:color w:val="000000"/>
          <w:sz w:val="28"/>
        </w:rPr>
        <w:t>
      The cost of services is determined by the following formula:</w:t>
      </w:r>
    </w:p>
    <w:p>
      <w:pPr>
        <w:spacing w:after="0"/>
        <w:ind w:left="0"/>
        <w:jc w:val="both"/>
      </w:pPr>
      <w:r>
        <w:rPr>
          <w:rFonts w:ascii="Times New Roman"/>
          <w:b w:val="false"/>
          <w:i w:val="false"/>
          <w:color w:val="000000"/>
          <w:sz w:val="28"/>
        </w:rPr>
        <w:t>
      Rusl = Rp + Rk</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Rusl - expenses for the provision of services;</w:t>
      </w:r>
    </w:p>
    <w:p>
      <w:pPr>
        <w:spacing w:after="0"/>
        <w:ind w:left="0"/>
        <w:jc w:val="both"/>
      </w:pPr>
      <w:r>
        <w:rPr>
          <w:rFonts w:ascii="Times New Roman"/>
          <w:b w:val="false"/>
          <w:i w:val="false"/>
          <w:color w:val="000000"/>
          <w:sz w:val="28"/>
        </w:rPr>
        <w:t>
      Rp - direct expenses;</w:t>
      </w:r>
    </w:p>
    <w:p>
      <w:pPr>
        <w:spacing w:after="0"/>
        <w:ind w:left="0"/>
        <w:jc w:val="both"/>
      </w:pPr>
      <w:r>
        <w:rPr>
          <w:rFonts w:ascii="Times New Roman"/>
          <w:b w:val="false"/>
          <w:i w:val="false"/>
          <w:color w:val="000000"/>
          <w:sz w:val="28"/>
        </w:rPr>
        <w:t xml:space="preserve">
      Rk - indirect expenses. </w:t>
      </w:r>
    </w:p>
    <w:bookmarkStart w:name="z16" w:id="12"/>
    <w:p>
      <w:pPr>
        <w:spacing w:after="0"/>
        <w:ind w:left="0"/>
        <w:jc w:val="both"/>
      </w:pPr>
      <w:r>
        <w:rPr>
          <w:rFonts w:ascii="Times New Roman"/>
          <w:b w:val="false"/>
          <w:i w:val="false"/>
          <w:color w:val="000000"/>
          <w:sz w:val="28"/>
        </w:rPr>
        <w:t xml:space="preserve">
      6. When determining the cost of services, expenses that are not related to direct and indirect expenses of the contractor are not taken into account, as well as those not confirmed by substantiating documents. </w:t>
      </w:r>
    </w:p>
    <w:bookmarkEnd w:id="12"/>
    <w:bookmarkStart w:name="z17" w:id="13"/>
    <w:p>
      <w:pPr>
        <w:spacing w:after="0"/>
        <w:ind w:left="0"/>
        <w:jc w:val="both"/>
      </w:pPr>
      <w:r>
        <w:rPr>
          <w:rFonts w:ascii="Times New Roman"/>
          <w:b w:val="false"/>
          <w:i w:val="false"/>
          <w:color w:val="000000"/>
          <w:sz w:val="28"/>
        </w:rPr>
        <w:t>
      7. The cost of services at the expense of the republican budget does not include the costs of bonus payments, cultural events, and representative costs.</w:t>
      </w:r>
    </w:p>
    <w:bookmarkEnd w:id="13"/>
    <w:bookmarkStart w:name="z18" w:id="14"/>
    <w:p>
      <w:pPr>
        <w:spacing w:after="0"/>
        <w:ind w:left="0"/>
        <w:jc w:val="both"/>
      </w:pPr>
      <w:r>
        <w:rPr>
          <w:rFonts w:ascii="Times New Roman"/>
          <w:b w:val="false"/>
          <w:i w:val="false"/>
          <w:color w:val="000000"/>
          <w:sz w:val="28"/>
        </w:rPr>
        <w:t>
      8. The contractor submits to the customer, represented by the Supreme Audit Chamber, a calculation of the cost of services with supporting documents when forming a budget application for the next planning period.</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regulatory resolution of the Supreme Audit Chamber of the Republic of Kazakhstan dated 20.02.2023 № 6-NK (effective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to determine the cost of research, </w:t>
            </w:r>
            <w:r>
              <w:br/>
            </w:r>
            <w:r>
              <w:rPr>
                <w:rFonts w:ascii="Times New Roman"/>
                <w:b w:val="false"/>
                <w:i w:val="false"/>
                <w:color w:val="000000"/>
                <w:sz w:val="20"/>
              </w:rPr>
              <w:t xml:space="preserve">consulting services and state assignment </w:t>
            </w:r>
            <w:r>
              <w:br/>
            </w:r>
            <w:r>
              <w:rPr>
                <w:rFonts w:ascii="Times New Roman"/>
                <w:b w:val="false"/>
                <w:i w:val="false"/>
                <w:color w:val="000000"/>
                <w:sz w:val="20"/>
              </w:rPr>
              <w:t xml:space="preserve">in the field of the state audit and financial control </w:t>
            </w:r>
          </w:p>
        </w:tc>
      </w:tr>
    </w:tbl>
    <w:bookmarkStart w:name="z20" w:id="15"/>
    <w:p>
      <w:pPr>
        <w:spacing w:after="0"/>
        <w:ind w:left="0"/>
        <w:jc w:val="left"/>
      </w:pPr>
      <w:r>
        <w:rPr>
          <w:rFonts w:ascii="Times New Roman"/>
          <w:b/>
          <w:i w:val="false"/>
          <w:color w:val="000000"/>
        </w:rPr>
        <w:t xml:space="preserve"> Calculation of the cost of services  ________________________________________________ </w:t>
      </w:r>
      <w:r>
        <w:br/>
      </w:r>
      <w:r>
        <w:rPr>
          <w:rFonts w:ascii="Times New Roman"/>
          <w:b/>
          <w:i w:val="false"/>
          <w:color w:val="000000"/>
        </w:rPr>
        <w:t xml:space="preserve">(name of the contractor of the service) </w:t>
      </w:r>
      <w:r>
        <w:br/>
      </w:r>
      <w:r>
        <w:rPr>
          <w:rFonts w:ascii="Times New Roman"/>
          <w:b/>
          <w:i w:val="false"/>
          <w:color w:val="000000"/>
        </w:rPr>
        <w:t xml:space="preserve">______________________________________________________________________ </w:t>
      </w:r>
      <w:r>
        <w:br/>
      </w:r>
      <w:r>
        <w:rPr>
          <w:rFonts w:ascii="Times New Roman"/>
          <w:b/>
          <w:i w:val="false"/>
          <w:color w:val="000000"/>
        </w:rPr>
        <w:t xml:space="preserve">(name of the research, consulting services, state assignment) </w:t>
      </w:r>
      <w:r>
        <w:br/>
      </w:r>
      <w:r>
        <w:rPr>
          <w:rFonts w:ascii="Times New Roman"/>
          <w:b/>
          <w:i w:val="false"/>
          <w:color w:val="000000"/>
        </w:rPr>
        <w:t xml:space="preserve">for 20 ___ </w:t>
      </w:r>
      <w:r>
        <w:br/>
      </w:r>
      <w:r>
        <w:rPr>
          <w:rFonts w:ascii="Times New Roman"/>
          <w:b/>
          <w:i w:val="false"/>
          <w:color w:val="000000"/>
        </w:rPr>
        <w:t xml:space="preserve">Name of the budget program, budget subprogram </w:t>
      </w:r>
      <w:r>
        <w:br/>
      </w:r>
      <w:r>
        <w:rPr>
          <w:rFonts w:ascii="Times New Roman"/>
          <w:b/>
          <w:i w:val="false"/>
          <w:color w:val="000000"/>
        </w:rPr>
        <w:t>___________________________________________________________________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in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Brief justification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for 20___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Payroll (wages of personnel directly participating in provision of services in accordance with the staffing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other mandatory payments to the budget, as well as social deductions and compulsory insurance of employees from accidents in the performance of labor (official) duties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(personnel directly participating in provision of services in accordance with the staffing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costs of attracting experts (co -executors) (do not exceed the aggregate of one second amount of work or services provided)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goods and materials (stationery and consumables, diplomas and badges)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Rental costs and operational costs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the purchase of fixed assets (workplace of personnel directly involved in the provision of the service)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translation services, info-graphics and typographic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connecting to digital libraries and electronic databases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acquiring intangible assets (the right to use information systems, patents and others)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Mailing costs, Internet, telephony (with the exception of mobile services), hosting and domain, expenses for development and maintenance of Internet resources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associated with the publication of research materials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Indirect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Salary of administrative and managerial personnel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other mandatory payments to the budget, as well as social deductions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and economic expenses (acquisition of materials, stocks and fixed assets (workplace of administrative and managerial personnel), depreciation of fixed assets, taxes and fees, payment of communication services, transport services, operation services, travel expenses and expenses for advanced training of administrative workers)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first head __________________ 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Chief accountant __________________ __________________________________</w:t>
      </w:r>
    </w:p>
    <w:p>
      <w:pPr>
        <w:spacing w:after="0"/>
        <w:ind w:left="0"/>
        <w:jc w:val="both"/>
      </w:pPr>
      <w:r>
        <w:rPr>
          <w:rFonts w:ascii="Times New Roman"/>
          <w:b w:val="false"/>
          <w:i w:val="false"/>
          <w:color w:val="000000"/>
          <w:sz w:val="28"/>
        </w:rPr>
        <w:t>
      (full 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