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988a" w14:textId="73f9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presentation and accounting of obligations assumed by the state security body to eliminate the consequences of operations in the field of hydrocarbons and/or uranium mining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Energy of the Republic of Kazakhstan dated July 22, 2021 No. 241. Registered with the Ministry of Justice of the Republic of Kazakhstan on July 27, 2021 No. 23714</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9 of Article 55 of the Code of the Republic of Kazakhstan "On subsoil and subsoil use,"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presentation and accounting of obligations assumed by the state security body to eliminate the consequences of operations in the field of hydrocarbons and/or uranium mining.</w:t>
      </w:r>
    </w:p>
    <w:bookmarkEnd w:id="1"/>
    <w:bookmarkStart w:name="z3" w:id="2"/>
    <w:p>
      <w:pPr>
        <w:spacing w:after="0"/>
        <w:ind w:left="0"/>
        <w:jc w:val="both"/>
      </w:pPr>
      <w:r>
        <w:rPr>
          <w:rFonts w:ascii="Times New Roman"/>
          <w:b w:val="false"/>
          <w:i w:val="false"/>
          <w:color w:val="000000"/>
          <w:sz w:val="28"/>
        </w:rPr>
        <w:t>
      2. The Department for subsoil use of the Ministry of Energy of the Republic of Kazakhstan, in accordance with the procedure established by legislation shall:</w:t>
      </w:r>
    </w:p>
    <w:bookmarkEnd w:id="2"/>
    <w:bookmarkStart w:name="z4"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joint order on the Internet resource of the Ministry of Energy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Energy of the Republic of Kazakhstan of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The execution of this order shall be entrusted to the supervising Vice-Minister of Energy of the Republic of Kazakhstan.</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Кaragayev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Acting Minister</w:t>
            </w:r>
            <w:r>
              <w:br/>
            </w:r>
            <w:r>
              <w:rPr>
                <w:rFonts w:ascii="Times New Roman"/>
                <w:b w:val="false"/>
                <w:i w:val="false"/>
                <w:color w:val="000000"/>
                <w:sz w:val="20"/>
              </w:rPr>
              <w:t>dated July 22, 2021 № 241</w:t>
            </w:r>
          </w:p>
        </w:tc>
      </w:tr>
    </w:tbl>
    <w:bookmarkStart w:name="z11" w:id="8"/>
    <w:p>
      <w:pPr>
        <w:spacing w:after="0"/>
        <w:ind w:left="0"/>
        <w:jc w:val="left"/>
      </w:pPr>
      <w:r>
        <w:rPr>
          <w:rFonts w:ascii="Times New Roman"/>
          <w:b/>
          <w:i w:val="false"/>
          <w:color w:val="000000"/>
        </w:rPr>
        <w:t xml:space="preserve"> Rules for presentation and accounting of obligations assumed by the state security body to eliminate the consequences of operations in the field of hydrocarbons and/or uranium mining</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presentation and accounting of obligations assumed by the state security body to eliminate the consequences of operations in the field of hydrocarbons and/or uranium mining (hereinafter referred to as the Rules) have been developed in accordance with Article 55, paragraph of the Code of the Republic of Kazakhstan "On subsoil and subsoil use" (hereinafter referred to as the Code) and shall determine the procedure for submission and accounting of the obligations assumed by the state security body to eliminate the consequences of subsoil use operations in the field of hydrocarbons and/or uranium mining.</w:t>
      </w:r>
    </w:p>
    <w:bookmarkEnd w:id="10"/>
    <w:bookmarkStart w:name="z14" w:id="11"/>
    <w:p>
      <w:pPr>
        <w:spacing w:after="0"/>
        <w:ind w:left="0"/>
        <w:jc w:val="both"/>
      </w:pPr>
      <w:r>
        <w:rPr>
          <w:rFonts w:ascii="Times New Roman"/>
          <w:b w:val="false"/>
          <w:i w:val="false"/>
          <w:color w:val="000000"/>
          <w:sz w:val="28"/>
        </w:rPr>
        <w:t>
      2. The subsoil user shall perform the following obligations:</w:t>
      </w:r>
    </w:p>
    <w:bookmarkEnd w:id="11"/>
    <w:bookmarkStart w:name="z15" w:id="12"/>
    <w:p>
      <w:pPr>
        <w:spacing w:after="0"/>
        <w:ind w:left="0"/>
        <w:jc w:val="both"/>
      </w:pPr>
      <w:r>
        <w:rPr>
          <w:rFonts w:ascii="Times New Roman"/>
          <w:b w:val="false"/>
          <w:i w:val="false"/>
          <w:color w:val="000000"/>
          <w:sz w:val="28"/>
        </w:rPr>
        <w:t>
      1) by pledging a bank deposit under:</w:t>
      </w:r>
    </w:p>
    <w:bookmarkEnd w:id="12"/>
    <w:bookmarkStart w:name="z16" w:id="13"/>
    <w:p>
      <w:pPr>
        <w:spacing w:after="0"/>
        <w:ind w:left="0"/>
        <w:jc w:val="both"/>
      </w:pPr>
      <w:r>
        <w:rPr>
          <w:rFonts w:ascii="Times New Roman"/>
          <w:b w:val="false"/>
          <w:i w:val="false"/>
          <w:color w:val="000000"/>
          <w:sz w:val="28"/>
        </w:rPr>
        <w:t>
      agreements for exploration and/or production or production of hydrocarbons concluded before the introduction of this Code;</w:t>
      </w:r>
    </w:p>
    <w:bookmarkEnd w:id="13"/>
    <w:bookmarkStart w:name="z17" w:id="14"/>
    <w:p>
      <w:pPr>
        <w:spacing w:after="0"/>
        <w:ind w:left="0"/>
        <w:jc w:val="both"/>
      </w:pPr>
      <w:r>
        <w:rPr>
          <w:rFonts w:ascii="Times New Roman"/>
          <w:b w:val="false"/>
          <w:i w:val="false"/>
          <w:color w:val="000000"/>
          <w:sz w:val="28"/>
        </w:rPr>
        <w:t>
      agreements for exploration and production of hydrocarbons, with the exception of subsoil users conducting exploration of hydrocarbons at sea in accordance with paragraph 6 of Article 126 of the Code;</w:t>
      </w:r>
    </w:p>
    <w:bookmarkEnd w:id="14"/>
    <w:bookmarkStart w:name="z18" w:id="15"/>
    <w:p>
      <w:pPr>
        <w:spacing w:after="0"/>
        <w:ind w:left="0"/>
        <w:jc w:val="both"/>
      </w:pPr>
      <w:r>
        <w:rPr>
          <w:rFonts w:ascii="Times New Roman"/>
          <w:b w:val="false"/>
          <w:i w:val="false"/>
          <w:color w:val="000000"/>
          <w:sz w:val="28"/>
        </w:rPr>
        <w:t>
      agreements for hydrocarbon production;</w:t>
      </w:r>
    </w:p>
    <w:bookmarkEnd w:id="15"/>
    <w:bookmarkStart w:name="z19" w:id="16"/>
    <w:p>
      <w:pPr>
        <w:spacing w:after="0"/>
        <w:ind w:left="0"/>
        <w:jc w:val="both"/>
      </w:pPr>
      <w:r>
        <w:rPr>
          <w:rFonts w:ascii="Times New Roman"/>
          <w:b w:val="false"/>
          <w:i w:val="false"/>
          <w:color w:val="000000"/>
          <w:sz w:val="28"/>
        </w:rPr>
        <w:t>
      uranium mining agreements.</w:t>
      </w:r>
    </w:p>
    <w:bookmarkEnd w:id="16"/>
    <w:bookmarkStart w:name="z20" w:id="17"/>
    <w:p>
      <w:pPr>
        <w:spacing w:after="0"/>
        <w:ind w:left="0"/>
        <w:jc w:val="both"/>
      </w:pPr>
      <w:r>
        <w:rPr>
          <w:rFonts w:ascii="Times New Roman"/>
          <w:b w:val="false"/>
          <w:i w:val="false"/>
          <w:color w:val="000000"/>
          <w:sz w:val="28"/>
        </w:rPr>
        <w:t>
      2) warranty under:</w:t>
      </w:r>
    </w:p>
    <w:bookmarkEnd w:id="17"/>
    <w:bookmarkStart w:name="z21" w:id="18"/>
    <w:p>
      <w:pPr>
        <w:spacing w:after="0"/>
        <w:ind w:left="0"/>
        <w:jc w:val="both"/>
      </w:pPr>
      <w:r>
        <w:rPr>
          <w:rFonts w:ascii="Times New Roman"/>
          <w:b w:val="false"/>
          <w:i w:val="false"/>
          <w:color w:val="000000"/>
          <w:sz w:val="28"/>
        </w:rPr>
        <w:t>
      agreements for exploration and/or production or production of hydrocarbons concluded before the introduction of this Code;</w:t>
      </w:r>
    </w:p>
    <w:bookmarkEnd w:id="18"/>
    <w:bookmarkStart w:name="z22" w:id="19"/>
    <w:p>
      <w:pPr>
        <w:spacing w:after="0"/>
        <w:ind w:left="0"/>
        <w:jc w:val="both"/>
      </w:pPr>
      <w:r>
        <w:rPr>
          <w:rFonts w:ascii="Times New Roman"/>
          <w:b w:val="false"/>
          <w:i w:val="false"/>
          <w:color w:val="000000"/>
          <w:sz w:val="28"/>
        </w:rPr>
        <w:t>
      agreements of fifty or more percent of voting shares (interests in the authorized capital) of which directly or indirectly belong to the national managing holding, the national managing holding, the national hydrocarbon company, the subsidiary of the national hydrocarbon company and (or) partners of the national hydrocarbon company or their subsidiaries that own a stake (share in the authorized capital) of subsoil users.</w:t>
      </w:r>
    </w:p>
    <w:bookmarkEnd w:id="19"/>
    <w:bookmarkStart w:name="z23" w:id="20"/>
    <w:p>
      <w:pPr>
        <w:spacing w:after="0"/>
        <w:ind w:left="0"/>
        <w:jc w:val="both"/>
      </w:pPr>
      <w:r>
        <w:rPr>
          <w:rFonts w:ascii="Times New Roman"/>
          <w:b w:val="false"/>
          <w:i w:val="false"/>
          <w:color w:val="000000"/>
          <w:sz w:val="28"/>
        </w:rPr>
        <w:t>
      At the same time, ensuring the fulfillment of obligations to eliminate the consequences of subsoil use operations in the field of hydrocarbons and (or) uranium mining (hereinafter referred to as security ) shall be submitted according to the standard forms approved in accordance with Article 56, paragraph 4 and Article 57, paragraph 7 of the Code.</w:t>
      </w:r>
    </w:p>
    <w:bookmarkEnd w:id="20"/>
    <w:bookmarkStart w:name="z24" w:id="21"/>
    <w:p>
      <w:pPr>
        <w:spacing w:after="0"/>
        <w:ind w:left="0"/>
        <w:jc w:val="both"/>
      </w:pPr>
      <w:r>
        <w:rPr>
          <w:rFonts w:ascii="Times New Roman"/>
          <w:b w:val="false"/>
          <w:i w:val="false"/>
          <w:color w:val="000000"/>
          <w:sz w:val="28"/>
        </w:rPr>
        <w:t>
      3. Security shall be provided separately for each subsoil block;</w:t>
      </w:r>
    </w:p>
    <w:bookmarkEnd w:id="21"/>
    <w:bookmarkStart w:name="z25" w:id="22"/>
    <w:p>
      <w:pPr>
        <w:spacing w:after="0"/>
        <w:ind w:left="0"/>
        <w:jc w:val="both"/>
      </w:pPr>
      <w:r>
        <w:rPr>
          <w:rFonts w:ascii="Times New Roman"/>
          <w:b w:val="false"/>
          <w:i w:val="false"/>
          <w:color w:val="000000"/>
          <w:sz w:val="28"/>
        </w:rPr>
        <w:t>
      4. The support shall be provided prior to the commencement of subsoil use operations in the field of hydrocarbons and/or uranium production.</w:t>
      </w:r>
    </w:p>
    <w:bookmarkEnd w:id="22"/>
    <w:bookmarkStart w:name="z26" w:id="23"/>
    <w:p>
      <w:pPr>
        <w:spacing w:after="0"/>
        <w:ind w:left="0"/>
        <w:jc w:val="both"/>
      </w:pPr>
      <w:r>
        <w:rPr>
          <w:rFonts w:ascii="Times New Roman"/>
          <w:b w:val="false"/>
          <w:i w:val="false"/>
          <w:color w:val="000000"/>
          <w:sz w:val="28"/>
        </w:rPr>
        <w:t>
      5. In accordance with Article 55, paragraph 7 of the Code, if for reasons beyond the control of the subsoil user the security provided to them shall have ceased to comply with the requirements of the Code or has ceased, the subsoil user shall replace such security within sixty (60) calendar days in accordance with the procedure provided for by these Rules.</w:t>
      </w:r>
    </w:p>
    <w:bookmarkEnd w:id="23"/>
    <w:bookmarkStart w:name="z27" w:id="24"/>
    <w:p>
      <w:pPr>
        <w:spacing w:after="0"/>
        <w:ind w:left="0"/>
        <w:jc w:val="left"/>
      </w:pPr>
      <w:r>
        <w:rPr>
          <w:rFonts w:ascii="Times New Roman"/>
          <w:b/>
          <w:i w:val="false"/>
          <w:color w:val="000000"/>
        </w:rPr>
        <w:t xml:space="preserve"> Chapter 2. Procedure for presentation on submission of security fulfillment of obligations to eliminate the consequences of operations in the field of hydrocarbons and/or uranium mining </w:t>
      </w:r>
    </w:p>
    <w:bookmarkEnd w:id="24"/>
    <w:bookmarkStart w:name="z28" w:id="25"/>
    <w:p>
      <w:pPr>
        <w:spacing w:after="0"/>
        <w:ind w:left="0"/>
        <w:jc w:val="both"/>
      </w:pPr>
      <w:r>
        <w:rPr>
          <w:rFonts w:ascii="Times New Roman"/>
          <w:b w:val="false"/>
          <w:i w:val="false"/>
          <w:color w:val="000000"/>
          <w:sz w:val="28"/>
        </w:rPr>
        <w:t>
      6. The security shall be submitted by the subsoil user to the competent authority in the field of hydrocarbons and/or uranium mining (hereinafter referred to as the competent authority):</w:t>
      </w:r>
    </w:p>
    <w:bookmarkEnd w:id="25"/>
    <w:bookmarkStart w:name="z29" w:id="26"/>
    <w:p>
      <w:pPr>
        <w:spacing w:after="0"/>
        <w:ind w:left="0"/>
        <w:jc w:val="both"/>
      </w:pPr>
      <w:r>
        <w:rPr>
          <w:rFonts w:ascii="Times New Roman"/>
          <w:b w:val="false"/>
          <w:i w:val="false"/>
          <w:color w:val="000000"/>
          <w:sz w:val="28"/>
        </w:rPr>
        <w:t>
      within two (2) working days after registration of the bank deposit pledge agreement, in accordance with the Instruction on registration of movable property pledge not subject to mandatory state registration, approved by order of the Minister of Justice of the Republic of Kazakhstan dated February 22, 1999 No. 14 (registered in the Register of State Registration of Regulatory Legal Acts No. 913);</w:t>
      </w:r>
    </w:p>
    <w:bookmarkEnd w:id="26"/>
    <w:bookmarkStart w:name="z30" w:id="27"/>
    <w:p>
      <w:pPr>
        <w:spacing w:after="0"/>
        <w:ind w:left="0"/>
        <w:jc w:val="both"/>
      </w:pPr>
      <w:r>
        <w:rPr>
          <w:rFonts w:ascii="Times New Roman"/>
          <w:b w:val="false"/>
          <w:i w:val="false"/>
          <w:color w:val="000000"/>
          <w:sz w:val="28"/>
        </w:rPr>
        <w:t>
      within two (2) working days from the date of issuance of the guarantee.</w:t>
      </w:r>
    </w:p>
    <w:bookmarkEnd w:id="27"/>
    <w:bookmarkStart w:name="z31" w:id="28"/>
    <w:p>
      <w:pPr>
        <w:spacing w:after="0"/>
        <w:ind w:left="0"/>
        <w:jc w:val="both"/>
      </w:pPr>
      <w:r>
        <w:rPr>
          <w:rFonts w:ascii="Times New Roman"/>
          <w:b w:val="false"/>
          <w:i w:val="false"/>
          <w:color w:val="000000"/>
          <w:sz w:val="28"/>
        </w:rPr>
        <w:t>
      In case of common ownership of the right to use of subsoil resources by two or more persons, the security shall be represented by any of the common owners of the right to use of subsoil resources.</w:t>
      </w:r>
    </w:p>
    <w:bookmarkEnd w:id="28"/>
    <w:bookmarkStart w:name="z32" w:id="29"/>
    <w:p>
      <w:pPr>
        <w:spacing w:after="0"/>
        <w:ind w:left="0"/>
        <w:jc w:val="both"/>
      </w:pPr>
      <w:r>
        <w:rPr>
          <w:rFonts w:ascii="Times New Roman"/>
          <w:b w:val="false"/>
          <w:i w:val="false"/>
          <w:color w:val="000000"/>
          <w:sz w:val="28"/>
        </w:rPr>
        <w:t>
      7. The security shall be submitted to the competent authority jointly with a cover letter on acceptance of the security, with an Annex 1 to the Rules, the information specified in Annex 1 to these Rules in Kazakh and Russian languages ​ ​ in paper and copies thereof in electronic media.</w:t>
      </w:r>
    </w:p>
    <w:bookmarkEnd w:id="29"/>
    <w:bookmarkStart w:name="z33" w:id="30"/>
    <w:p>
      <w:pPr>
        <w:spacing w:after="0"/>
        <w:ind w:left="0"/>
        <w:jc w:val="both"/>
      </w:pPr>
      <w:r>
        <w:rPr>
          <w:rFonts w:ascii="Times New Roman"/>
          <w:b w:val="false"/>
          <w:i w:val="false"/>
          <w:color w:val="000000"/>
          <w:sz w:val="28"/>
        </w:rPr>
        <w:t>
      Documents specified in the first part of this paragraph, drawn up in a foreign language, shall be submitted with translation into Kazakh and Russian, the fidelity of which shall be notarized in accordance with Article 80 of the Law of the Republic of Kazakhstan "On notaries."</w:t>
      </w:r>
    </w:p>
    <w:bookmarkEnd w:id="30"/>
    <w:bookmarkStart w:name="z34" w:id="31"/>
    <w:p>
      <w:pPr>
        <w:spacing w:after="0"/>
        <w:ind w:left="0"/>
        <w:jc w:val="both"/>
      </w:pPr>
      <w:r>
        <w:rPr>
          <w:rFonts w:ascii="Times New Roman"/>
          <w:b w:val="false"/>
          <w:i w:val="false"/>
          <w:color w:val="000000"/>
          <w:sz w:val="28"/>
        </w:rPr>
        <w:t>
      8. The competent authority shall review the submitted security for compliance with the requirements of the Code and these Rules within 7 (seven) working days from the date of their receipt and in the absence of grounds for refusing to accept the security provided for in paragraph 10 of these Rules, shall enter information on the submitted security into the Register of security for the fulfillment of obligations to eliminate the consequences of subsoil use operations in the field of hydrocarbons and (or) uranium mining (hereinafter referred to as the Register), which shall be maintained in accordance with Chapter 4 of these Rules.</w:t>
      </w:r>
    </w:p>
    <w:bookmarkEnd w:id="31"/>
    <w:bookmarkStart w:name="z35" w:id="32"/>
    <w:p>
      <w:pPr>
        <w:spacing w:after="0"/>
        <w:ind w:left="0"/>
        <w:jc w:val="both"/>
      </w:pPr>
      <w:r>
        <w:rPr>
          <w:rFonts w:ascii="Times New Roman"/>
          <w:b w:val="false"/>
          <w:i w:val="false"/>
          <w:color w:val="000000"/>
          <w:sz w:val="28"/>
        </w:rPr>
        <w:t>
      9. The competent authority shall notify the subsoil user of the acceptance of the security no later than five (5) working days from the date of entry of the information on the security into the Register. The Security acceptance notice shall contain the accounting number under which the security shall be entered in the Register.</w:t>
      </w:r>
    </w:p>
    <w:bookmarkEnd w:id="32"/>
    <w:bookmarkStart w:name="z36" w:id="33"/>
    <w:p>
      <w:pPr>
        <w:spacing w:after="0"/>
        <w:ind w:left="0"/>
        <w:jc w:val="both"/>
      </w:pPr>
      <w:r>
        <w:rPr>
          <w:rFonts w:ascii="Times New Roman"/>
          <w:b w:val="false"/>
          <w:i w:val="false"/>
          <w:color w:val="000000"/>
          <w:sz w:val="28"/>
        </w:rPr>
        <w:t>
      10. The competent authority shall refuse to accept the security if:</w:t>
      </w:r>
    </w:p>
    <w:bookmarkEnd w:id="33"/>
    <w:bookmarkStart w:name="z37" w:id="34"/>
    <w:p>
      <w:pPr>
        <w:spacing w:after="0"/>
        <w:ind w:left="0"/>
        <w:jc w:val="both"/>
      </w:pPr>
      <w:r>
        <w:rPr>
          <w:rFonts w:ascii="Times New Roman"/>
          <w:b w:val="false"/>
          <w:i w:val="false"/>
          <w:color w:val="000000"/>
          <w:sz w:val="28"/>
        </w:rPr>
        <w:t>
      1) the provision is improper:</w:t>
      </w:r>
    </w:p>
    <w:bookmarkEnd w:id="34"/>
    <w:bookmarkStart w:name="z38" w:id="35"/>
    <w:p>
      <w:pPr>
        <w:spacing w:after="0"/>
        <w:ind w:left="0"/>
        <w:jc w:val="both"/>
      </w:pPr>
      <w:r>
        <w:rPr>
          <w:rFonts w:ascii="Times New Roman"/>
          <w:b w:val="false"/>
          <w:i w:val="false"/>
          <w:color w:val="000000"/>
          <w:sz w:val="28"/>
        </w:rPr>
        <w:t>
      if the security does not comply with the standard forms approved in accordance with Article 56, paragraph 4 and Article 57, paragraph 7 of the Code;</w:t>
      </w:r>
    </w:p>
    <w:bookmarkEnd w:id="35"/>
    <w:bookmarkStart w:name="z39" w:id="36"/>
    <w:p>
      <w:pPr>
        <w:spacing w:after="0"/>
        <w:ind w:left="0"/>
        <w:jc w:val="both"/>
      </w:pPr>
      <w:r>
        <w:rPr>
          <w:rFonts w:ascii="Times New Roman"/>
          <w:b w:val="false"/>
          <w:i w:val="false"/>
          <w:color w:val="000000"/>
          <w:sz w:val="28"/>
        </w:rPr>
        <w:t>
      if the security does not comply with the requirements of Articles 55, 56 and 57 of the Code and these Rules;</w:t>
      </w:r>
    </w:p>
    <w:bookmarkEnd w:id="36"/>
    <w:bookmarkStart w:name="z40" w:id="37"/>
    <w:p>
      <w:pPr>
        <w:spacing w:after="0"/>
        <w:ind w:left="0"/>
        <w:jc w:val="both"/>
      </w:pPr>
      <w:r>
        <w:rPr>
          <w:rFonts w:ascii="Times New Roman"/>
          <w:b w:val="false"/>
          <w:i w:val="false"/>
          <w:color w:val="000000"/>
          <w:sz w:val="28"/>
        </w:rPr>
        <w:t>
      if the security is not signed by authorized persons and/or does not contain a seal (if the seal is mandatory in accordance with the Business Code of the Republic of Kazakhstan or the country of registration).</w:t>
      </w:r>
    </w:p>
    <w:bookmarkEnd w:id="37"/>
    <w:bookmarkStart w:name="z41" w:id="38"/>
    <w:p>
      <w:pPr>
        <w:spacing w:after="0"/>
        <w:ind w:left="0"/>
        <w:jc w:val="both"/>
      </w:pPr>
      <w:r>
        <w:rPr>
          <w:rFonts w:ascii="Times New Roman"/>
          <w:b w:val="false"/>
          <w:i w:val="false"/>
          <w:color w:val="000000"/>
          <w:sz w:val="28"/>
        </w:rPr>
        <w:t>
      2) the documents specified in paragraph 7 of these Rules shall not be presented.</w:t>
      </w:r>
    </w:p>
    <w:bookmarkEnd w:id="38"/>
    <w:bookmarkStart w:name="z42" w:id="39"/>
    <w:p>
      <w:pPr>
        <w:spacing w:after="0"/>
        <w:ind w:left="0"/>
        <w:jc w:val="both"/>
      </w:pPr>
      <w:r>
        <w:rPr>
          <w:rFonts w:ascii="Times New Roman"/>
          <w:b w:val="false"/>
          <w:i w:val="false"/>
          <w:color w:val="000000"/>
          <w:sz w:val="28"/>
        </w:rPr>
        <w:t>
      11. The competent authority shall notify the subsoil user of the refusal to accept the security no later than five (5) working days from the date of receipt of the cover letter and the documents specified in paragraph 7 of these Rules.</w:t>
      </w:r>
    </w:p>
    <w:bookmarkEnd w:id="39"/>
    <w:bookmarkStart w:name="z43" w:id="40"/>
    <w:p>
      <w:pPr>
        <w:spacing w:after="0"/>
        <w:ind w:left="0"/>
        <w:jc w:val="both"/>
      </w:pPr>
      <w:r>
        <w:rPr>
          <w:rFonts w:ascii="Times New Roman"/>
          <w:b w:val="false"/>
          <w:i w:val="false"/>
          <w:color w:val="000000"/>
          <w:sz w:val="28"/>
        </w:rPr>
        <w:t>
      12. In cases stipulated by paragraph 10 of these Rules, the competent authority shall send a reasoned response to the subsoil user to refuse to accept the security in writing.</w:t>
      </w:r>
    </w:p>
    <w:bookmarkEnd w:id="40"/>
    <w:bookmarkStart w:name="z44" w:id="41"/>
    <w:p>
      <w:pPr>
        <w:spacing w:after="0"/>
        <w:ind w:left="0"/>
        <w:jc w:val="both"/>
      </w:pPr>
      <w:r>
        <w:rPr>
          <w:rFonts w:ascii="Times New Roman"/>
          <w:b w:val="false"/>
          <w:i w:val="false"/>
          <w:color w:val="000000"/>
          <w:sz w:val="28"/>
        </w:rPr>
        <w:t>
      13. In case of refusal to accept the security, the documents specified in paragraph 7 of these Rules shall be submitted by the subsoil user again after elimination of the grounds specified in paragraph 10 of these Rules.</w:t>
      </w:r>
    </w:p>
    <w:bookmarkEnd w:id="41"/>
    <w:bookmarkStart w:name="z45" w:id="42"/>
    <w:p>
      <w:pPr>
        <w:spacing w:after="0"/>
        <w:ind w:left="0"/>
        <w:jc w:val="both"/>
      </w:pPr>
      <w:r>
        <w:rPr>
          <w:rFonts w:ascii="Times New Roman"/>
          <w:b w:val="false"/>
          <w:i w:val="false"/>
          <w:color w:val="000000"/>
          <w:sz w:val="28"/>
        </w:rPr>
        <w:t>
      14. The competent authority that has accepted the security shall provide open access to the security information including: the type of security, the amount of security, its validity period and the name of the organization that issued the security.</w:t>
      </w:r>
    </w:p>
    <w:bookmarkEnd w:id="42"/>
    <w:bookmarkStart w:name="z46" w:id="43"/>
    <w:p>
      <w:pPr>
        <w:spacing w:after="0"/>
        <w:ind w:left="0"/>
        <w:jc w:val="left"/>
      </w:pPr>
      <w:r>
        <w:rPr>
          <w:rFonts w:ascii="Times New Roman"/>
          <w:b/>
          <w:i w:val="false"/>
          <w:color w:val="000000"/>
        </w:rPr>
        <w:t xml:space="preserve"> Chapter 3. Procedure for submission of modified security and introduction of amendments to the Register</w:t>
      </w:r>
    </w:p>
    <w:bookmarkEnd w:id="43"/>
    <w:bookmarkStart w:name="z47" w:id="44"/>
    <w:p>
      <w:pPr>
        <w:spacing w:after="0"/>
        <w:ind w:left="0"/>
        <w:jc w:val="both"/>
      </w:pPr>
      <w:r>
        <w:rPr>
          <w:rFonts w:ascii="Times New Roman"/>
          <w:b w:val="false"/>
          <w:i w:val="false"/>
          <w:color w:val="000000"/>
          <w:sz w:val="28"/>
        </w:rPr>
        <w:t>
      15. In the event of introduction of amendments and/or additions to the security previously adopted by the competent authority (hereinafter referred to as the amended security), the subsoil user shall send to the competent authority, jointly with the modified security, a cover letter on its acceptance, with the information attached to the Rules, specified in Annex 2 to these Rules in Kazakh and Russian in hard copies and copies thereof in electronic media.</w:t>
      </w:r>
    </w:p>
    <w:bookmarkEnd w:id="44"/>
    <w:bookmarkStart w:name="z48" w:id="45"/>
    <w:p>
      <w:pPr>
        <w:spacing w:after="0"/>
        <w:ind w:left="0"/>
        <w:jc w:val="both"/>
      </w:pPr>
      <w:r>
        <w:rPr>
          <w:rFonts w:ascii="Times New Roman"/>
          <w:b w:val="false"/>
          <w:i w:val="false"/>
          <w:color w:val="000000"/>
          <w:sz w:val="28"/>
        </w:rPr>
        <w:t>
      Documents specified in the first part of this paragraph, drawn up in a foreign language, shall be submitted with translation into Kazakh and Russian, the fidelity of which shall be notarized in accordance with Article 80 of the Law of the Republic of Kazakhstan "On Notaries."</w:t>
      </w:r>
    </w:p>
    <w:bookmarkEnd w:id="45"/>
    <w:bookmarkStart w:name="z49" w:id="46"/>
    <w:p>
      <w:pPr>
        <w:spacing w:after="0"/>
        <w:ind w:left="0"/>
        <w:jc w:val="both"/>
      </w:pPr>
      <w:r>
        <w:rPr>
          <w:rFonts w:ascii="Times New Roman"/>
          <w:b w:val="false"/>
          <w:i w:val="false"/>
          <w:color w:val="000000"/>
          <w:sz w:val="28"/>
        </w:rPr>
        <w:t>
      16. The competent authority shall consider the documents specified in paragraph 21 of these Rules for compliance with the requirements of the Code and these Rules within 7 (seven) working days from the date of their receipt.</w:t>
      </w:r>
    </w:p>
    <w:bookmarkEnd w:id="46"/>
    <w:bookmarkStart w:name="z50" w:id="47"/>
    <w:p>
      <w:pPr>
        <w:spacing w:after="0"/>
        <w:ind w:left="0"/>
        <w:jc w:val="both"/>
      </w:pPr>
      <w:r>
        <w:rPr>
          <w:rFonts w:ascii="Times New Roman"/>
          <w:b w:val="false"/>
          <w:i w:val="false"/>
          <w:color w:val="000000"/>
          <w:sz w:val="28"/>
        </w:rPr>
        <w:t>
      17. The competent authority shall refuse to accept the amended security if:</w:t>
      </w:r>
    </w:p>
    <w:bookmarkEnd w:id="47"/>
    <w:bookmarkStart w:name="z51" w:id="48"/>
    <w:p>
      <w:pPr>
        <w:spacing w:after="0"/>
        <w:ind w:left="0"/>
        <w:jc w:val="both"/>
      </w:pPr>
      <w:r>
        <w:rPr>
          <w:rFonts w:ascii="Times New Roman"/>
          <w:b w:val="false"/>
          <w:i w:val="false"/>
          <w:color w:val="000000"/>
          <w:sz w:val="28"/>
        </w:rPr>
        <w:t>
      1) the amended security is improper:</w:t>
      </w:r>
    </w:p>
    <w:bookmarkEnd w:id="48"/>
    <w:bookmarkStart w:name="z52" w:id="49"/>
    <w:p>
      <w:pPr>
        <w:spacing w:after="0"/>
        <w:ind w:left="0"/>
        <w:jc w:val="both"/>
      </w:pPr>
      <w:r>
        <w:rPr>
          <w:rFonts w:ascii="Times New Roman"/>
          <w:b w:val="false"/>
          <w:i w:val="false"/>
          <w:color w:val="000000"/>
          <w:sz w:val="28"/>
        </w:rPr>
        <w:t>
      if the security does not comply with the standard forms approved in accordance with Article 56, paragraph 4 and Article 57, paragraph 7 of the Code;</w:t>
      </w:r>
    </w:p>
    <w:bookmarkEnd w:id="49"/>
    <w:bookmarkStart w:name="z53" w:id="50"/>
    <w:p>
      <w:pPr>
        <w:spacing w:after="0"/>
        <w:ind w:left="0"/>
        <w:jc w:val="both"/>
      </w:pPr>
      <w:r>
        <w:rPr>
          <w:rFonts w:ascii="Times New Roman"/>
          <w:b w:val="false"/>
          <w:i w:val="false"/>
          <w:color w:val="000000"/>
          <w:sz w:val="28"/>
        </w:rPr>
        <w:t>
      if the security does not comply with the requirements of Articles 55, 56 and 57 of the Code and these Rules;</w:t>
      </w:r>
    </w:p>
    <w:bookmarkEnd w:id="50"/>
    <w:bookmarkStart w:name="z54" w:id="51"/>
    <w:p>
      <w:pPr>
        <w:spacing w:after="0"/>
        <w:ind w:left="0"/>
        <w:jc w:val="both"/>
      </w:pPr>
      <w:r>
        <w:rPr>
          <w:rFonts w:ascii="Times New Roman"/>
          <w:b w:val="false"/>
          <w:i w:val="false"/>
          <w:color w:val="000000"/>
          <w:sz w:val="28"/>
        </w:rPr>
        <w:t>
      if the amended security is not signed by authorized persons and/or does not contain a seal (if the seal is mandatory in accordance with the Business Code of the Republic of Kazakhstan or the country of registration);</w:t>
      </w:r>
    </w:p>
    <w:bookmarkEnd w:id="51"/>
    <w:bookmarkStart w:name="z55" w:id="52"/>
    <w:p>
      <w:pPr>
        <w:spacing w:after="0"/>
        <w:ind w:left="0"/>
        <w:jc w:val="both"/>
      </w:pPr>
      <w:r>
        <w:rPr>
          <w:rFonts w:ascii="Times New Roman"/>
          <w:b w:val="false"/>
          <w:i w:val="false"/>
          <w:color w:val="000000"/>
          <w:sz w:val="28"/>
        </w:rPr>
        <w:t>
      2) the documents specified in paragraph 21 of these Rules are not presented.</w:t>
      </w:r>
    </w:p>
    <w:bookmarkEnd w:id="52"/>
    <w:bookmarkStart w:name="z56" w:id="53"/>
    <w:p>
      <w:pPr>
        <w:spacing w:after="0"/>
        <w:ind w:left="0"/>
        <w:jc w:val="both"/>
      </w:pPr>
      <w:r>
        <w:rPr>
          <w:rFonts w:ascii="Times New Roman"/>
          <w:b w:val="false"/>
          <w:i w:val="false"/>
          <w:color w:val="000000"/>
          <w:sz w:val="28"/>
        </w:rPr>
        <w:t>
      18. In the absence of grounds for refusal to accept the amended security provided for in paragraph 19 of these Rules, the competent authority shall enter the information on the submitted amended security into the Register.</w:t>
      </w:r>
    </w:p>
    <w:bookmarkEnd w:id="53"/>
    <w:bookmarkStart w:name="z57" w:id="54"/>
    <w:p>
      <w:pPr>
        <w:spacing w:after="0"/>
        <w:ind w:left="0"/>
        <w:jc w:val="both"/>
      </w:pPr>
      <w:r>
        <w:rPr>
          <w:rFonts w:ascii="Times New Roman"/>
          <w:b w:val="false"/>
          <w:i w:val="false"/>
          <w:color w:val="000000"/>
          <w:sz w:val="28"/>
        </w:rPr>
        <w:t>
      19. The competent authority shall notify the applicant of the acceptance of the amended security no later than five (5) business days from the date of entry of the information on the amended security into the Register.</w:t>
      </w:r>
    </w:p>
    <w:bookmarkEnd w:id="54"/>
    <w:bookmarkStart w:name="z58" w:id="55"/>
    <w:p>
      <w:pPr>
        <w:spacing w:after="0"/>
        <w:ind w:left="0"/>
        <w:jc w:val="left"/>
      </w:pPr>
      <w:r>
        <w:rPr>
          <w:rFonts w:ascii="Times New Roman"/>
          <w:b/>
          <w:i w:val="false"/>
          <w:color w:val="000000"/>
        </w:rPr>
        <w:t xml:space="preserve"> Chapter 4. Procedure for security records </w:t>
      </w:r>
    </w:p>
    <w:bookmarkEnd w:id="55"/>
    <w:bookmarkStart w:name="z59" w:id="56"/>
    <w:p>
      <w:pPr>
        <w:spacing w:after="0"/>
        <w:ind w:left="0"/>
        <w:jc w:val="both"/>
      </w:pPr>
      <w:r>
        <w:rPr>
          <w:rFonts w:ascii="Times New Roman"/>
          <w:b w:val="false"/>
          <w:i w:val="false"/>
          <w:color w:val="000000"/>
          <w:sz w:val="28"/>
        </w:rPr>
        <w:t>
      20. Security records shall be maintained by the competent authority that accepts the security.</w:t>
      </w:r>
    </w:p>
    <w:bookmarkEnd w:id="56"/>
    <w:bookmarkStart w:name="z60" w:id="57"/>
    <w:p>
      <w:pPr>
        <w:spacing w:after="0"/>
        <w:ind w:left="0"/>
        <w:jc w:val="both"/>
      </w:pPr>
      <w:r>
        <w:rPr>
          <w:rFonts w:ascii="Times New Roman"/>
          <w:b w:val="false"/>
          <w:i w:val="false"/>
          <w:color w:val="000000"/>
          <w:sz w:val="28"/>
        </w:rPr>
        <w:t>
      21. Security records shall be performed by maintaining the Register in the form set out in Annex 3 hereto.</w:t>
      </w:r>
    </w:p>
    <w:bookmarkEnd w:id="57"/>
    <w:bookmarkStart w:name="z61" w:id="58"/>
    <w:p>
      <w:pPr>
        <w:spacing w:after="0"/>
        <w:ind w:left="0"/>
        <w:jc w:val="both"/>
      </w:pPr>
      <w:r>
        <w:rPr>
          <w:rFonts w:ascii="Times New Roman"/>
          <w:b w:val="false"/>
          <w:i w:val="false"/>
          <w:color w:val="000000"/>
          <w:sz w:val="28"/>
        </w:rPr>
        <w:t>
      22. The register of security shall be kept in electronic form and/or on paper.</w:t>
      </w:r>
    </w:p>
    <w:bookmarkEnd w:id="58"/>
    <w:bookmarkStart w:name="z62" w:id="59"/>
    <w:p>
      <w:pPr>
        <w:spacing w:after="0"/>
        <w:ind w:left="0"/>
        <w:jc w:val="both"/>
      </w:pPr>
      <w:r>
        <w:rPr>
          <w:rFonts w:ascii="Times New Roman"/>
          <w:b w:val="false"/>
          <w:i w:val="false"/>
          <w:color w:val="000000"/>
          <w:sz w:val="28"/>
        </w:rPr>
        <w:t>
      In the case of maintaining a register of hard copy security , it must be numbered, bound and sealed and certified by signatures:</w:t>
      </w:r>
    </w:p>
    <w:bookmarkEnd w:id="59"/>
    <w:bookmarkStart w:name="z63" w:id="60"/>
    <w:p>
      <w:pPr>
        <w:spacing w:after="0"/>
        <w:ind w:left="0"/>
        <w:jc w:val="both"/>
      </w:pPr>
      <w:r>
        <w:rPr>
          <w:rFonts w:ascii="Times New Roman"/>
          <w:b w:val="false"/>
          <w:i w:val="false"/>
          <w:color w:val="000000"/>
          <w:sz w:val="28"/>
        </w:rPr>
        <w:t>
      1) Head of the structural subdivision of the competent authority responsible for receiving security ;</w:t>
      </w:r>
    </w:p>
    <w:bookmarkEnd w:id="60"/>
    <w:bookmarkStart w:name="z64" w:id="61"/>
    <w:p>
      <w:pPr>
        <w:spacing w:after="0"/>
        <w:ind w:left="0"/>
        <w:jc w:val="both"/>
      </w:pPr>
      <w:r>
        <w:rPr>
          <w:rFonts w:ascii="Times New Roman"/>
          <w:b w:val="false"/>
          <w:i w:val="false"/>
          <w:color w:val="000000"/>
          <w:sz w:val="28"/>
        </w:rPr>
        <w:t>
      2) the responsible person of the structural subdivision, determined by the internal order of the competent authority.</w:t>
      </w:r>
    </w:p>
    <w:bookmarkEnd w:id="61"/>
    <w:bookmarkStart w:name="z65" w:id="62"/>
    <w:p>
      <w:pPr>
        <w:spacing w:after="0"/>
        <w:ind w:left="0"/>
        <w:jc w:val="both"/>
      </w:pPr>
      <w:r>
        <w:rPr>
          <w:rFonts w:ascii="Times New Roman"/>
          <w:b w:val="false"/>
          <w:i w:val="false"/>
          <w:color w:val="000000"/>
          <w:sz w:val="28"/>
        </w:rPr>
        <w:t>
      23. A separate section shall be established in the Register for each contract for subsoil use in the field of hydrocarbons and/or uranium mining.</w:t>
      </w:r>
    </w:p>
    <w:bookmarkEnd w:id="62"/>
    <w:bookmarkStart w:name="z66" w:id="63"/>
    <w:p>
      <w:pPr>
        <w:spacing w:after="0"/>
        <w:ind w:left="0"/>
        <w:jc w:val="both"/>
      </w:pPr>
      <w:r>
        <w:rPr>
          <w:rFonts w:ascii="Times New Roman"/>
          <w:b w:val="false"/>
          <w:i w:val="false"/>
          <w:color w:val="000000"/>
          <w:sz w:val="28"/>
        </w:rPr>
        <w:t>
      In case of maintaining the Register of security in hard copy, the responsible person of the competent authority shall sign it at the end of each line.</w:t>
      </w:r>
    </w:p>
    <w:bookmarkEnd w:id="63"/>
    <w:bookmarkStart w:name="z67" w:id="64"/>
    <w:p>
      <w:pPr>
        <w:spacing w:after="0"/>
        <w:ind w:left="0"/>
        <w:jc w:val="both"/>
      </w:pPr>
      <w:r>
        <w:rPr>
          <w:rFonts w:ascii="Times New Roman"/>
          <w:b w:val="false"/>
          <w:i w:val="false"/>
          <w:color w:val="000000"/>
          <w:sz w:val="28"/>
        </w:rPr>
        <w:t>
      24. An initial entry in the Register shall be made upon acceptance for the first time by the competent authority under the relevant contract for the use of subsoil resources in the field of hydrocarbons and (or) uranium production no later than the working day following the day of acceptance of the security in accordance with these Rules.</w:t>
      </w:r>
    </w:p>
    <w:bookmarkEnd w:id="64"/>
    <w:bookmarkStart w:name="z68" w:id="65"/>
    <w:p>
      <w:pPr>
        <w:spacing w:after="0"/>
        <w:ind w:left="0"/>
        <w:jc w:val="both"/>
      </w:pPr>
      <w:r>
        <w:rPr>
          <w:rFonts w:ascii="Times New Roman"/>
          <w:b w:val="false"/>
          <w:i w:val="false"/>
          <w:color w:val="000000"/>
          <w:sz w:val="28"/>
        </w:rPr>
        <w:t>
      25. No later than the working day following the date of acceptance of the security (amended security) in accordance with Chapters 2 and 3 of these Rules, entries about them shall be made in the relevant columns of the Register.</w:t>
      </w:r>
    </w:p>
    <w:bookmarkEnd w:id="65"/>
    <w:bookmarkStart w:name="z69" w:id="66"/>
    <w:p>
      <w:pPr>
        <w:spacing w:after="0"/>
        <w:ind w:left="0"/>
        <w:jc w:val="both"/>
      </w:pPr>
      <w:r>
        <w:rPr>
          <w:rFonts w:ascii="Times New Roman"/>
          <w:b w:val="false"/>
          <w:i w:val="false"/>
          <w:color w:val="000000"/>
          <w:sz w:val="28"/>
        </w:rPr>
        <w:t>
      Upon termination of the obligation to eliminate the consequences of subsoil use operations, the competent authority shall make a corresponding entry in the Register.</w:t>
      </w:r>
    </w:p>
    <w:bookmarkEnd w:id="66"/>
    <w:bookmarkStart w:name="z70" w:id="67"/>
    <w:p>
      <w:pPr>
        <w:spacing w:after="0"/>
        <w:ind w:left="0"/>
        <w:jc w:val="both"/>
      </w:pPr>
      <w:r>
        <w:rPr>
          <w:rFonts w:ascii="Times New Roman"/>
          <w:b w:val="false"/>
          <w:i w:val="false"/>
          <w:color w:val="000000"/>
          <w:sz w:val="28"/>
        </w:rPr>
        <w:t>
      26. In the event of termination of the obligation to eliminate the consequences of subsoil use operations as a result of enforcement of security, the competent authority shall make a record of enforcement of security in the Register.</w:t>
      </w:r>
    </w:p>
    <w:bookmarkEnd w:id="67"/>
    <w:bookmarkStart w:name="z71" w:id="68"/>
    <w:p>
      <w:pPr>
        <w:spacing w:after="0"/>
        <w:ind w:left="0"/>
        <w:jc w:val="both"/>
      </w:pPr>
      <w:r>
        <w:rPr>
          <w:rFonts w:ascii="Times New Roman"/>
          <w:b w:val="false"/>
          <w:i w:val="false"/>
          <w:color w:val="000000"/>
          <w:sz w:val="28"/>
        </w:rPr>
        <w:t>
      27. The competent authority shall ensure permanent storage of the original security until termination of the obligation to eliminate the consequences of subsoil use operations, after which it shall be archived in accordance with the procedure established by the Rules for documentation, document management and use of electronic document management systems in state and non-state organizations approved by resolution of the Government of the Republic of Kazakhstan dated October 31, 2018 No. 703</w:t>
      </w:r>
    </w:p>
    <w:bookmarkEnd w:id="68"/>
    <w:bookmarkStart w:name="z72" w:id="69"/>
    <w:p>
      <w:pPr>
        <w:spacing w:after="0"/>
        <w:ind w:left="0"/>
        <w:jc w:val="both"/>
      </w:pPr>
      <w:r>
        <w:rPr>
          <w:rFonts w:ascii="Times New Roman"/>
          <w:b w:val="false"/>
          <w:i w:val="false"/>
          <w:color w:val="000000"/>
          <w:sz w:val="28"/>
        </w:rPr>
        <w:t>
      28. A hard copy of the security shall be kept by the competent authority for 3 (three) years from the date of termination of the obligation to eliminate the consequences of subsoil use in the field of hydrocarbons and/or uranium mining.</w:t>
      </w:r>
    </w:p>
    <w:bookmarkEnd w:id="69"/>
    <w:bookmarkStart w:name="z73" w:id="70"/>
    <w:p>
      <w:pPr>
        <w:spacing w:after="0"/>
        <w:ind w:left="0"/>
        <w:jc w:val="both"/>
      </w:pPr>
      <w:r>
        <w:rPr>
          <w:rFonts w:ascii="Times New Roman"/>
          <w:b w:val="false"/>
          <w:i w:val="false"/>
          <w:color w:val="000000"/>
          <w:sz w:val="28"/>
        </w:rPr>
        <w:t>
      29. At the written request of the subsoil user (the person whose right to use the subsoil has been terminated) and (or) the organization that issued the security, the competent authority shall, within ten (10) working days, provide a written confirmation of the record in the Register of information on the termination of the obligation to eliminate the consequences of subsoil use in the field of hydrocarbons and (or) uranium mining.</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Rules for presentation </w:t>
            </w:r>
            <w:r>
              <w:br/>
            </w:r>
            <w:r>
              <w:rPr>
                <w:rFonts w:ascii="Times New Roman"/>
                <w:b w:val="false"/>
                <w:i w:val="false"/>
                <w:color w:val="000000"/>
                <w:sz w:val="20"/>
              </w:rPr>
              <w:t xml:space="preserve">and accounting of obligations </w:t>
            </w:r>
            <w:r>
              <w:br/>
            </w:r>
            <w:r>
              <w:rPr>
                <w:rFonts w:ascii="Times New Roman"/>
                <w:b w:val="false"/>
                <w:i w:val="false"/>
                <w:color w:val="000000"/>
                <w:sz w:val="20"/>
              </w:rPr>
              <w:t xml:space="preserve">assumed by the state security body </w:t>
            </w:r>
            <w:r>
              <w:br/>
            </w:r>
            <w:r>
              <w:rPr>
                <w:rFonts w:ascii="Times New Roman"/>
                <w:b w:val="false"/>
                <w:i w:val="false"/>
                <w:color w:val="000000"/>
                <w:sz w:val="20"/>
              </w:rPr>
              <w:t xml:space="preserve">to eliminate the consequences of </w:t>
            </w:r>
            <w:r>
              <w:br/>
            </w:r>
            <w:r>
              <w:rPr>
                <w:rFonts w:ascii="Times New Roman"/>
                <w:b w:val="false"/>
                <w:i w:val="false"/>
                <w:color w:val="000000"/>
                <w:sz w:val="20"/>
              </w:rPr>
              <w:t xml:space="preserve">operations on the field of </w:t>
            </w:r>
            <w:r>
              <w:br/>
            </w:r>
            <w:r>
              <w:rPr>
                <w:rFonts w:ascii="Times New Roman"/>
                <w:b w:val="false"/>
                <w:i w:val="false"/>
                <w:color w:val="000000"/>
                <w:sz w:val="20"/>
              </w:rPr>
              <w:t xml:space="preserve">hydrocarbons and/or uranium </w:t>
            </w:r>
            <w:r>
              <w:br/>
            </w:r>
            <w:r>
              <w:rPr>
                <w:rFonts w:ascii="Times New Roman"/>
                <w:b w:val="false"/>
                <w:i w:val="false"/>
                <w:color w:val="000000"/>
                <w:sz w:val="20"/>
              </w:rPr>
              <w:t xml:space="preserve">mining </w:t>
            </w:r>
          </w:p>
        </w:tc>
      </w:tr>
    </w:tbl>
    <w:bookmarkStart w:name="z75" w:id="71"/>
    <w:p>
      <w:pPr>
        <w:spacing w:after="0"/>
        <w:ind w:left="0"/>
        <w:jc w:val="left"/>
      </w:pPr>
      <w:r>
        <w:rPr>
          <w:rFonts w:ascii="Times New Roman"/>
          <w:b/>
          <w:i w:val="false"/>
          <w:color w:val="000000"/>
        </w:rPr>
        <w:t xml:space="preserve"> Information attached to the cover letter on the acceptance of security for the fulfillment of obligations to eliminate the consequences of subsoil use in the field of hydrocarbons and/or uranium mining</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subsoil user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documents certifying the identity of the subsoil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state registration as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rights of subsoil use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subsoil use license (s) or full name of the subsoil use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contract for subsoil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subsoil use license or conclusion of subsoil use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blocks constituting the exploration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total amount of security for the fulfillment of obligations to eliminate the consequences of subsoil use operations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submitted security for the fulfillment of obligations to eliminate the consequences of subsoil use operations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2"/>
          <w:p>
            <w:pPr>
              <w:spacing w:after="20"/>
              <w:ind w:left="20"/>
              <w:jc w:val="both"/>
            </w:pPr>
            <w:r>
              <w:rPr>
                <w:rFonts w:ascii="Times New Roman"/>
                <w:b w:val="false"/>
                <w:i w:val="false"/>
                <w:color w:val="000000"/>
                <w:sz w:val="20"/>
              </w:rPr>
              <w:t>
Ensuring the fulfillment of obligations to eliminate the consequences of subsoil use shall be provided by:</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one type of security;</w:t>
            </w:r>
          </w:p>
          <w:p>
            <w:pPr>
              <w:spacing w:after="20"/>
              <w:ind w:left="20"/>
              <w:jc w:val="both"/>
            </w:pPr>
            <w:r>
              <w:rPr>
                <w:rFonts w:ascii="Times New Roman"/>
                <w:b w:val="false"/>
                <w:i w:val="false"/>
                <w:color w:val="000000"/>
                <w:sz w:val="20"/>
              </w:rPr>
              <w:t>
in combination of security types (specify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security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number and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that issued the security,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guarantor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validity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covered by security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document from which the security amount have been calculated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3"/>
    <w:p>
      <w:pPr>
        <w:spacing w:after="0"/>
        <w:ind w:left="0"/>
        <w:jc w:val="both"/>
      </w:pPr>
      <w:r>
        <w:rPr>
          <w:rFonts w:ascii="Times New Roman"/>
          <w:b w:val="false"/>
          <w:i w:val="false"/>
          <w:color w:val="000000"/>
          <w:sz w:val="28"/>
        </w:rPr>
        <w:t>
      List of attached documents:</w:t>
      </w:r>
    </w:p>
    <w:bookmarkEnd w:id="73"/>
    <w:bookmarkStart w:name="z79" w:id="74"/>
    <w:p>
      <w:pPr>
        <w:spacing w:after="0"/>
        <w:ind w:left="0"/>
        <w:jc w:val="both"/>
      </w:pPr>
      <w:r>
        <w:rPr>
          <w:rFonts w:ascii="Times New Roman"/>
          <w:b w:val="false"/>
          <w:i w:val="false"/>
          <w:color w:val="000000"/>
          <w:sz w:val="28"/>
        </w:rPr>
        <w:t>
      ____________________________________________________________;</w:t>
      </w:r>
    </w:p>
    <w:bookmarkEnd w:id="74"/>
    <w:bookmarkStart w:name="z80" w:id="75"/>
    <w:p>
      <w:pPr>
        <w:spacing w:after="0"/>
        <w:ind w:left="0"/>
        <w:jc w:val="both"/>
      </w:pPr>
      <w:r>
        <w:rPr>
          <w:rFonts w:ascii="Times New Roman"/>
          <w:b w:val="false"/>
          <w:i w:val="false"/>
          <w:color w:val="000000"/>
          <w:sz w:val="28"/>
        </w:rPr>
        <w:t>
      ____________________________________________________________;</w:t>
      </w:r>
    </w:p>
    <w:bookmarkEnd w:id="75"/>
    <w:bookmarkStart w:name="z81" w:id="76"/>
    <w:p>
      <w:pPr>
        <w:spacing w:after="0"/>
        <w:ind w:left="0"/>
        <w:jc w:val="both"/>
      </w:pPr>
      <w:r>
        <w:rPr>
          <w:rFonts w:ascii="Times New Roman"/>
          <w:b w:val="false"/>
          <w:i w:val="false"/>
          <w:color w:val="000000"/>
          <w:sz w:val="28"/>
        </w:rPr>
        <w:t>
      ____________________________________________________________;</w:t>
      </w:r>
    </w:p>
    <w:bookmarkEnd w:id="76"/>
    <w:bookmarkStart w:name="z82" w:id="77"/>
    <w:p>
      <w:pPr>
        <w:spacing w:after="0"/>
        <w:ind w:left="0"/>
        <w:jc w:val="both"/>
      </w:pPr>
      <w:r>
        <w:rPr>
          <w:rFonts w:ascii="Times New Roman"/>
          <w:b w:val="false"/>
          <w:i w:val="false"/>
          <w:color w:val="000000"/>
          <w:sz w:val="28"/>
        </w:rPr>
        <w:t>
      ____________________________________________________________.</w:t>
      </w:r>
    </w:p>
    <w:bookmarkEnd w:id="77"/>
    <w:bookmarkStart w:name="z83" w:id="78"/>
    <w:p>
      <w:pPr>
        <w:spacing w:after="0"/>
        <w:ind w:left="0"/>
        <w:jc w:val="both"/>
      </w:pPr>
      <w:r>
        <w:rPr>
          <w:rFonts w:ascii="Times New Roman"/>
          <w:b w:val="false"/>
          <w:i w:val="false"/>
          <w:color w:val="000000"/>
          <w:sz w:val="28"/>
        </w:rPr>
        <w:t>
      (name of documents and number of pages)</w:t>
      </w:r>
    </w:p>
    <w:bookmarkEnd w:id="78"/>
    <w:bookmarkStart w:name="z84" w:id="79"/>
    <w:p>
      <w:pPr>
        <w:spacing w:after="0"/>
        <w:ind w:left="0"/>
        <w:jc w:val="both"/>
      </w:pPr>
      <w:r>
        <w:rPr>
          <w:rFonts w:ascii="Times New Roman"/>
          <w:b w:val="false"/>
          <w:i w:val="false"/>
          <w:color w:val="000000"/>
          <w:sz w:val="28"/>
        </w:rPr>
        <w:t>
      ___________________</w:t>
      </w:r>
    </w:p>
    <w:bookmarkEnd w:id="79"/>
    <w:bookmarkStart w:name="z85" w:id="80"/>
    <w:p>
      <w:pPr>
        <w:spacing w:after="0"/>
        <w:ind w:left="0"/>
        <w:jc w:val="both"/>
      </w:pPr>
      <w:r>
        <w:rPr>
          <w:rFonts w:ascii="Times New Roman"/>
          <w:b w:val="false"/>
          <w:i w:val="false"/>
          <w:color w:val="000000"/>
          <w:sz w:val="28"/>
        </w:rPr>
        <w:t>
      (signature of the subsoil user or his authorized representative (in case of submission of the application by the representative, a duly executed document certifying the authority is attached)</w:t>
      </w:r>
    </w:p>
    <w:bookmarkEnd w:id="80"/>
    <w:bookmarkStart w:name="z86" w:id="81"/>
    <w:p>
      <w:pPr>
        <w:spacing w:after="0"/>
        <w:ind w:left="0"/>
        <w:jc w:val="both"/>
      </w:pPr>
      <w:r>
        <w:rPr>
          <w:rFonts w:ascii="Times New Roman"/>
          <w:b w:val="false"/>
          <w:i w:val="false"/>
          <w:color w:val="000000"/>
          <w:sz w:val="28"/>
        </w:rPr>
        <w:t>
      Subsoil user or its authorized representative:</w:t>
      </w:r>
    </w:p>
    <w:bookmarkEnd w:id="81"/>
    <w:bookmarkStart w:name="z87" w:id="82"/>
    <w:p>
      <w:pPr>
        <w:spacing w:after="0"/>
        <w:ind w:left="0"/>
        <w:jc w:val="both"/>
      </w:pPr>
      <w:r>
        <w:rPr>
          <w:rFonts w:ascii="Times New Roman"/>
          <w:b w:val="false"/>
          <w:i w:val="false"/>
          <w:color w:val="000000"/>
          <w:sz w:val="28"/>
        </w:rPr>
        <w:t>
      _________________________________________________________________</w:t>
      </w:r>
    </w:p>
    <w:bookmarkEnd w:id="82"/>
    <w:bookmarkStart w:name="z88" w:id="83"/>
    <w:p>
      <w:pPr>
        <w:spacing w:after="0"/>
        <w:ind w:left="0"/>
        <w:jc w:val="both"/>
      </w:pPr>
      <w:r>
        <w:rPr>
          <w:rFonts w:ascii="Times New Roman"/>
          <w:b w:val="false"/>
          <w:i w:val="false"/>
          <w:color w:val="000000"/>
          <w:sz w:val="28"/>
        </w:rPr>
        <w:t>
      (last name, first name and patronymic (if any )/name)</w:t>
      </w:r>
    </w:p>
    <w:bookmarkEnd w:id="83"/>
    <w:bookmarkStart w:name="z89" w:id="84"/>
    <w:p>
      <w:pPr>
        <w:spacing w:after="0"/>
        <w:ind w:left="0"/>
        <w:jc w:val="both"/>
      </w:pPr>
      <w:r>
        <w:rPr>
          <w:rFonts w:ascii="Times New Roman"/>
          <w:b w:val="false"/>
          <w:i w:val="false"/>
          <w:color w:val="000000"/>
          <w:sz w:val="28"/>
        </w:rPr>
        <w:t>
      Date of completion: __________ "__",__ 20</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Rules for presentation </w:t>
            </w:r>
            <w:r>
              <w:br/>
            </w:r>
            <w:r>
              <w:rPr>
                <w:rFonts w:ascii="Times New Roman"/>
                <w:b w:val="false"/>
                <w:i w:val="false"/>
                <w:color w:val="000000"/>
                <w:sz w:val="20"/>
              </w:rPr>
              <w:t xml:space="preserve">and accounting of obligations </w:t>
            </w:r>
            <w:r>
              <w:br/>
            </w:r>
            <w:r>
              <w:rPr>
                <w:rFonts w:ascii="Times New Roman"/>
                <w:b w:val="false"/>
                <w:i w:val="false"/>
                <w:color w:val="000000"/>
                <w:sz w:val="20"/>
              </w:rPr>
              <w:t xml:space="preserve">assumed by the state security body </w:t>
            </w:r>
            <w:r>
              <w:br/>
            </w:r>
            <w:r>
              <w:rPr>
                <w:rFonts w:ascii="Times New Roman"/>
                <w:b w:val="false"/>
                <w:i w:val="false"/>
                <w:color w:val="000000"/>
                <w:sz w:val="20"/>
              </w:rPr>
              <w:t xml:space="preserve">to eliminate the consequences of </w:t>
            </w:r>
            <w:r>
              <w:br/>
            </w:r>
            <w:r>
              <w:rPr>
                <w:rFonts w:ascii="Times New Roman"/>
                <w:b w:val="false"/>
                <w:i w:val="false"/>
                <w:color w:val="000000"/>
                <w:sz w:val="20"/>
              </w:rPr>
              <w:t xml:space="preserve">operations on the field of </w:t>
            </w:r>
            <w:r>
              <w:br/>
            </w:r>
            <w:r>
              <w:rPr>
                <w:rFonts w:ascii="Times New Roman"/>
                <w:b w:val="false"/>
                <w:i w:val="false"/>
                <w:color w:val="000000"/>
                <w:sz w:val="20"/>
              </w:rPr>
              <w:t xml:space="preserve">hydrocarbons and/or uranium </w:t>
            </w:r>
            <w:r>
              <w:br/>
            </w:r>
            <w:r>
              <w:rPr>
                <w:rFonts w:ascii="Times New Roman"/>
                <w:b w:val="false"/>
                <w:i w:val="false"/>
                <w:color w:val="000000"/>
                <w:sz w:val="20"/>
              </w:rPr>
              <w:t xml:space="preserve">mining </w:t>
            </w:r>
          </w:p>
        </w:tc>
      </w:tr>
    </w:tbl>
    <w:bookmarkStart w:name="z91" w:id="85"/>
    <w:p>
      <w:pPr>
        <w:spacing w:after="0"/>
        <w:ind w:left="0"/>
        <w:jc w:val="left"/>
      </w:pPr>
      <w:r>
        <w:rPr>
          <w:rFonts w:ascii="Times New Roman"/>
          <w:b/>
          <w:i w:val="false"/>
          <w:color w:val="000000"/>
        </w:rPr>
        <w:t xml:space="preserve"> Information on introduction of amendments and additions to the adopted security for the fulfillment of obligations to eliminate the consequences of subsoil use in the field of hydrocarbons and/or uranium mining</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subsoil user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applicant's identity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state registration as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previously submitted security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accounting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or reasons for introduction of amendments and additions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6"/>
    <w:p>
      <w:pPr>
        <w:spacing w:after="0"/>
        <w:ind w:left="0"/>
        <w:jc w:val="both"/>
      </w:pPr>
      <w:r>
        <w:rPr>
          <w:rFonts w:ascii="Times New Roman"/>
          <w:b w:val="false"/>
          <w:i w:val="false"/>
          <w:color w:val="000000"/>
          <w:sz w:val="28"/>
        </w:rPr>
        <w:t>
      List of attached documents:</w:t>
      </w:r>
    </w:p>
    <w:bookmarkEnd w:id="86"/>
    <w:bookmarkStart w:name="z93" w:id="87"/>
    <w:p>
      <w:pPr>
        <w:spacing w:after="0"/>
        <w:ind w:left="0"/>
        <w:jc w:val="both"/>
      </w:pPr>
      <w:r>
        <w:rPr>
          <w:rFonts w:ascii="Times New Roman"/>
          <w:b w:val="false"/>
          <w:i w:val="false"/>
          <w:color w:val="000000"/>
          <w:sz w:val="28"/>
        </w:rPr>
        <w:t>
      _______________________________________________________________;</w:t>
      </w:r>
    </w:p>
    <w:bookmarkEnd w:id="87"/>
    <w:bookmarkStart w:name="z94" w:id="88"/>
    <w:p>
      <w:pPr>
        <w:spacing w:after="0"/>
        <w:ind w:left="0"/>
        <w:jc w:val="both"/>
      </w:pPr>
      <w:r>
        <w:rPr>
          <w:rFonts w:ascii="Times New Roman"/>
          <w:b w:val="false"/>
          <w:i w:val="false"/>
          <w:color w:val="000000"/>
          <w:sz w:val="28"/>
        </w:rPr>
        <w:t>
      _______________________________________________________________;</w:t>
      </w:r>
    </w:p>
    <w:bookmarkEnd w:id="88"/>
    <w:bookmarkStart w:name="z95" w:id="89"/>
    <w:p>
      <w:pPr>
        <w:spacing w:after="0"/>
        <w:ind w:left="0"/>
        <w:jc w:val="both"/>
      </w:pPr>
      <w:r>
        <w:rPr>
          <w:rFonts w:ascii="Times New Roman"/>
          <w:b w:val="false"/>
          <w:i w:val="false"/>
          <w:color w:val="000000"/>
          <w:sz w:val="28"/>
        </w:rPr>
        <w:t>
      _______________________________________________________________;</w:t>
      </w:r>
    </w:p>
    <w:bookmarkEnd w:id="89"/>
    <w:bookmarkStart w:name="z96" w:id="90"/>
    <w:p>
      <w:pPr>
        <w:spacing w:after="0"/>
        <w:ind w:left="0"/>
        <w:jc w:val="both"/>
      </w:pPr>
      <w:r>
        <w:rPr>
          <w:rFonts w:ascii="Times New Roman"/>
          <w:b w:val="false"/>
          <w:i w:val="false"/>
          <w:color w:val="000000"/>
          <w:sz w:val="28"/>
        </w:rPr>
        <w:t>
      _______________________________________________________________.</w:t>
      </w:r>
    </w:p>
    <w:bookmarkEnd w:id="90"/>
    <w:bookmarkStart w:name="z97" w:id="91"/>
    <w:p>
      <w:pPr>
        <w:spacing w:after="0"/>
        <w:ind w:left="0"/>
        <w:jc w:val="both"/>
      </w:pPr>
      <w:r>
        <w:rPr>
          <w:rFonts w:ascii="Times New Roman"/>
          <w:b w:val="false"/>
          <w:i w:val="false"/>
          <w:color w:val="000000"/>
          <w:sz w:val="28"/>
        </w:rPr>
        <w:t>
      (name of documents and number of pages)</w:t>
      </w:r>
    </w:p>
    <w:bookmarkEnd w:id="91"/>
    <w:bookmarkStart w:name="z98" w:id="92"/>
    <w:p>
      <w:pPr>
        <w:spacing w:after="0"/>
        <w:ind w:left="0"/>
        <w:jc w:val="both"/>
      </w:pPr>
      <w:r>
        <w:rPr>
          <w:rFonts w:ascii="Times New Roman"/>
          <w:b w:val="false"/>
          <w:i w:val="false"/>
          <w:color w:val="000000"/>
          <w:sz w:val="28"/>
        </w:rPr>
        <w:t>
      ___________________</w:t>
      </w:r>
    </w:p>
    <w:bookmarkEnd w:id="92"/>
    <w:bookmarkStart w:name="z99" w:id="93"/>
    <w:p>
      <w:pPr>
        <w:spacing w:after="0"/>
        <w:ind w:left="0"/>
        <w:jc w:val="both"/>
      </w:pPr>
      <w:r>
        <w:rPr>
          <w:rFonts w:ascii="Times New Roman"/>
          <w:b w:val="false"/>
          <w:i w:val="false"/>
          <w:color w:val="000000"/>
          <w:sz w:val="28"/>
        </w:rPr>
        <w:t>
      (signature of the subsoil user or his authorized representative (in case of submission of the application by the representative, a duly executed document certifying the authority is attached)</w:t>
      </w:r>
    </w:p>
    <w:bookmarkEnd w:id="93"/>
    <w:bookmarkStart w:name="z100" w:id="94"/>
    <w:p>
      <w:pPr>
        <w:spacing w:after="0"/>
        <w:ind w:left="0"/>
        <w:jc w:val="both"/>
      </w:pPr>
      <w:r>
        <w:rPr>
          <w:rFonts w:ascii="Times New Roman"/>
          <w:b w:val="false"/>
          <w:i w:val="false"/>
          <w:color w:val="000000"/>
          <w:sz w:val="28"/>
        </w:rPr>
        <w:t>
      Subsoil user: _________________________________________________________________</w:t>
      </w:r>
    </w:p>
    <w:bookmarkEnd w:id="94"/>
    <w:bookmarkStart w:name="z101" w:id="95"/>
    <w:p>
      <w:pPr>
        <w:spacing w:after="0"/>
        <w:ind w:left="0"/>
        <w:jc w:val="both"/>
      </w:pPr>
      <w:r>
        <w:rPr>
          <w:rFonts w:ascii="Times New Roman"/>
          <w:b w:val="false"/>
          <w:i w:val="false"/>
          <w:color w:val="000000"/>
          <w:sz w:val="28"/>
        </w:rPr>
        <w:t>
      (last name, first name and patronymic (if any )/name)</w:t>
      </w:r>
    </w:p>
    <w:bookmarkEnd w:id="95"/>
    <w:bookmarkStart w:name="z102" w:id="96"/>
    <w:p>
      <w:pPr>
        <w:spacing w:after="0"/>
        <w:ind w:left="0"/>
        <w:jc w:val="both"/>
      </w:pPr>
      <w:r>
        <w:rPr>
          <w:rFonts w:ascii="Times New Roman"/>
          <w:b w:val="false"/>
          <w:i w:val="false"/>
          <w:color w:val="000000"/>
          <w:sz w:val="28"/>
        </w:rPr>
        <w:t>
      Date of completion: __________ "__", __ 20</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Rules for presentation </w:t>
            </w:r>
            <w:r>
              <w:br/>
            </w:r>
            <w:r>
              <w:rPr>
                <w:rFonts w:ascii="Times New Roman"/>
                <w:b w:val="false"/>
                <w:i w:val="false"/>
                <w:color w:val="000000"/>
                <w:sz w:val="20"/>
              </w:rPr>
              <w:t xml:space="preserve">and accounting of obligations </w:t>
            </w:r>
            <w:r>
              <w:br/>
            </w:r>
            <w:r>
              <w:rPr>
                <w:rFonts w:ascii="Times New Roman"/>
                <w:b w:val="false"/>
                <w:i w:val="false"/>
                <w:color w:val="000000"/>
                <w:sz w:val="20"/>
              </w:rPr>
              <w:t xml:space="preserve">assumed by the state security body </w:t>
            </w:r>
            <w:r>
              <w:br/>
            </w:r>
            <w:r>
              <w:rPr>
                <w:rFonts w:ascii="Times New Roman"/>
                <w:b w:val="false"/>
                <w:i w:val="false"/>
                <w:color w:val="000000"/>
                <w:sz w:val="20"/>
              </w:rPr>
              <w:t xml:space="preserve">to eliminate the consequences of </w:t>
            </w:r>
            <w:r>
              <w:br/>
            </w:r>
            <w:r>
              <w:rPr>
                <w:rFonts w:ascii="Times New Roman"/>
                <w:b w:val="false"/>
                <w:i w:val="false"/>
                <w:color w:val="000000"/>
                <w:sz w:val="20"/>
              </w:rPr>
              <w:t xml:space="preserve">operations on the field of </w:t>
            </w:r>
            <w:r>
              <w:br/>
            </w:r>
            <w:r>
              <w:rPr>
                <w:rFonts w:ascii="Times New Roman"/>
                <w:b w:val="false"/>
                <w:i w:val="false"/>
                <w:color w:val="000000"/>
                <w:sz w:val="20"/>
              </w:rPr>
              <w:t xml:space="preserve">hydrocarbons and/or uranium </w:t>
            </w:r>
            <w:r>
              <w:br/>
            </w:r>
            <w:r>
              <w:rPr>
                <w:rFonts w:ascii="Times New Roman"/>
                <w:b w:val="false"/>
                <w:i w:val="false"/>
                <w:color w:val="000000"/>
                <w:sz w:val="20"/>
              </w:rPr>
              <w:t xml:space="preserve">mining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5" w:id="97"/>
    <w:p>
      <w:pPr>
        <w:spacing w:after="0"/>
        <w:ind w:left="0"/>
        <w:jc w:val="left"/>
      </w:pPr>
      <w:r>
        <w:rPr>
          <w:rFonts w:ascii="Times New Roman"/>
          <w:b/>
          <w:i w:val="false"/>
          <w:color w:val="000000"/>
        </w:rPr>
        <w:t xml:space="preserve"> Register of guarantees for fulfillment of obligations to eliminate the consequences of subsoil use operations in the field of hydrocarbons and/or uranium mining</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rate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and patronymic (if any) or name of the legal entity that provided the security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subsoil use license (s) or full name of the subsoil use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or subsoil use contract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subsoil use license or conclusion of subsoil use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or subsoil use contract validity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license or subsoil use contract (valid, revoked, contract expired, subsoil user refused the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the subsoil area (geographical coordinates of angular points)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code of block (s) constituting (components of) the exploration area or boundaries of the territory of the subsoil block (s) (points of geographical coordinates) (for subsoil blocks formed by blocks)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date (term) of completion of liquidation upon expiration of subsoil use license or subsoil use contract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security (s)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(s) that issued (issued) the support (s)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the security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Validity period</w:t>
            </w:r>
          </w:p>
          <w:bookmarkEnd w:id="98"/>
          <w:p>
            <w:pPr>
              <w:spacing w:after="20"/>
              <w:ind w:left="20"/>
              <w:jc w:val="both"/>
            </w:pPr>
            <w:r>
              <w:rPr>
                <w:rFonts w:ascii="Times New Roman"/>
                <w:b w:val="false"/>
                <w:i w:val="false"/>
                <w:color w:val="000000"/>
                <w:sz w:val="20"/>
              </w:rPr>
              <w:t xml:space="preserve">
of the security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security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covered by security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on recovery of security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amount collection 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of termination of the obligation to eliminate the consequences of subsoil use operations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termination of the obligation to eliminate the consequences of subsoil use operations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official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