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b5c2" w14:textId="227b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forming value indicators of risks used in controlling the customs value of goods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May 20, 2021 No. 471. Registered with the Ministry of Justice of the Republic of Kazakhstan on May 22, 2021 No. 22785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subclause 3) of clause 5 of Article 452 of the Code of the Republic of Kazakhstan “On customs regulation in the Republic of Kazakhstan”, </w:t>
      </w:r>
      <w:r>
        <w:rPr>
          <w:rFonts w:ascii="Times New Roman"/>
          <w:b/>
          <w:i w:val="false"/>
          <w:color w:val="000000"/>
          <w:sz w:val="28"/>
        </w:rPr>
        <w:t>I HEREBY ORDER</w:t>
      </w:r>
      <w:r>
        <w:rPr>
          <w:rFonts w:ascii="Times New Roman"/>
          <w:b w:val="false"/>
          <w:i w:val="false"/>
          <w:color w:val="000000"/>
          <w:sz w:val="28"/>
        </w:rPr>
        <w:t>:</w:t>
      </w:r>
    </w:p>
    <w:bookmarkStart w:name="z0" w:id="0"/>
    <w:p>
      <w:pPr>
        <w:spacing w:after="0"/>
        <w:ind w:left="0"/>
        <w:jc w:val="both"/>
      </w:pPr>
      <w:r>
        <w:rPr>
          <w:rFonts w:ascii="Times New Roman"/>
          <w:b w:val="false"/>
          <w:i w:val="false"/>
          <w:color w:val="000000"/>
          <w:sz w:val="28"/>
        </w:rPr>
        <w:t>
      1. To approve the Methodology for forming value indicators of risks used in controlling the customs value of goods, according to the Appendix to this order.</w:t>
      </w:r>
    </w:p>
    <w:bookmarkEnd w:id="0"/>
    <w:bookmarkStart w:name="z1" w:id="1"/>
    <w:p>
      <w:pPr>
        <w:spacing w:after="0"/>
        <w:ind w:left="0"/>
        <w:jc w:val="both"/>
      </w:pPr>
      <w:r>
        <w:rPr>
          <w:rFonts w:ascii="Times New Roman"/>
          <w:b w:val="false"/>
          <w:i w:val="false"/>
          <w:color w:val="000000"/>
          <w:sz w:val="28"/>
        </w:rPr>
        <w:t>
      2. The State Revenue Committee of the Ministry of Finance of the Republic of Kazakhstan in accordance with the procedure, established by the legislation of the Republic of Kazakhstan, shall ensure:</w:t>
      </w:r>
    </w:p>
    <w:bookmarkEnd w:id="1"/>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Finance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submission to the Department of Legal Service of the Ministry of Finance of the Republic of Kazakhstan of information about execution of measures, stipulated by subclauses 1) and 2) of this clause.</w:t>
      </w:r>
    </w:p>
    <w:bookmarkStart w:name="z2" w:id="2"/>
    <w:p>
      <w:pPr>
        <w:spacing w:after="0"/>
        <w:ind w:left="0"/>
        <w:jc w:val="both"/>
      </w:pPr>
      <w:r>
        <w:rPr>
          <w:rFonts w:ascii="Times New Roman"/>
          <w:b w:val="false"/>
          <w:i w:val="false"/>
          <w:color w:val="000000"/>
          <w:sz w:val="28"/>
        </w:rPr>
        <w:t>
      3. Control over execution of this order shall be entrusted to the supervising Vice Minister of Finance of the Republic of Kazakhstan.</w:t>
      </w:r>
    </w:p>
    <w:bookmarkEnd w:id="2"/>
    <w:bookmarkStart w:name="z3" w:id="3"/>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Zhamaubayev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Order of the Minister of Finance </w:t>
            </w:r>
            <w:r>
              <w:br/>
            </w:r>
            <w:r>
              <w:rPr>
                <w:rFonts w:ascii="Times New Roman"/>
                <w:b w:val="false"/>
                <w:i w:val="false"/>
                <w:color w:val="000000"/>
                <w:sz w:val="20"/>
              </w:rPr>
              <w:t>dated May 20, 2021 No. 471</w:t>
            </w:r>
          </w:p>
        </w:tc>
      </w:tr>
    </w:tbl>
    <w:bookmarkStart w:name="z5" w:id="4"/>
    <w:p>
      <w:pPr>
        <w:spacing w:after="0"/>
        <w:ind w:left="0"/>
        <w:jc w:val="left"/>
      </w:pPr>
      <w:r>
        <w:rPr>
          <w:rFonts w:ascii="Times New Roman"/>
          <w:b/>
          <w:i w:val="false"/>
          <w:color w:val="000000"/>
        </w:rPr>
        <w:t xml:space="preserve"> Methodology for forming value indicators of risks used in controlling the customs value of goods</w:t>
      </w:r>
    </w:p>
    <w:bookmarkEnd w:id="4"/>
    <w:bookmarkStart w:name="z6" w:id="5"/>
    <w:p>
      <w:pPr>
        <w:spacing w:after="0"/>
        <w:ind w:left="0"/>
        <w:jc w:val="left"/>
      </w:pPr>
      <w:r>
        <w:rPr>
          <w:rFonts w:ascii="Times New Roman"/>
          <w:b/>
          <w:i w:val="false"/>
          <w:color w:val="000000"/>
        </w:rPr>
        <w:t xml:space="preserve"> Chapter 1. General provisions</w:t>
      </w:r>
    </w:p>
    <w:bookmarkEnd w:id="5"/>
    <w:bookmarkStart w:name="z7" w:id="6"/>
    <w:p>
      <w:pPr>
        <w:spacing w:after="0"/>
        <w:ind w:left="0"/>
        <w:jc w:val="both"/>
      </w:pPr>
      <w:r>
        <w:rPr>
          <w:rFonts w:ascii="Times New Roman"/>
          <w:b w:val="false"/>
          <w:i w:val="false"/>
          <w:color w:val="000000"/>
          <w:sz w:val="28"/>
        </w:rPr>
        <w:t>
      1. This Methodology for forming value indicators of risks used in controlling the customs value of goods (hereinafter referred to as the Methodology), have been developed for the purposes of forming value indicators of risk and its application by the territorial state revenue bodies in controlling the customs value of goods.</w:t>
      </w:r>
    </w:p>
    <w:bookmarkEnd w:id="6"/>
    <w:bookmarkStart w:name="z8" w:id="7"/>
    <w:p>
      <w:pPr>
        <w:spacing w:after="0"/>
        <w:ind w:left="0"/>
        <w:jc w:val="both"/>
      </w:pPr>
      <w:r>
        <w:rPr>
          <w:rFonts w:ascii="Times New Roman"/>
          <w:b w:val="false"/>
          <w:i w:val="false"/>
          <w:color w:val="000000"/>
          <w:sz w:val="28"/>
        </w:rPr>
        <w:t>
      2. To approve the values of value indicators of risk with the State Revenue Committee of the Ministry of Finance of the Republic of Kazakhstan (hereinafter referred to as the Committee) a Working group shall be created, which considers projects of risk profiles in accordance with the order of the Minister of Finance of the Republic of Kazakhstan dated February 13, 2018 No. 170 for internal use “On approval of the Rules for implementation by state revenue bodies of risk management process” (registered with the Register of State Registration of Regulatory Legal Acts under No. 16449).</w:t>
      </w:r>
    </w:p>
    <w:bookmarkEnd w:id="7"/>
    <w:p>
      <w:pPr>
        <w:spacing w:after="0"/>
        <w:ind w:left="0"/>
        <w:jc w:val="both"/>
      </w:pPr>
      <w:r>
        <w:rPr>
          <w:rFonts w:ascii="Times New Roman"/>
          <w:b w:val="false"/>
          <w:i w:val="false"/>
          <w:color w:val="000000"/>
          <w:sz w:val="28"/>
        </w:rPr>
        <w:t>
      The approved values of value indicators of risk are confidential information.</w:t>
      </w:r>
    </w:p>
    <w:bookmarkStart w:name="z9" w:id="8"/>
    <w:p>
      <w:pPr>
        <w:spacing w:after="0"/>
        <w:ind w:left="0"/>
        <w:jc w:val="left"/>
      </w:pPr>
      <w:r>
        <w:rPr>
          <w:rFonts w:ascii="Times New Roman"/>
          <w:b/>
          <w:i w:val="false"/>
          <w:color w:val="000000"/>
        </w:rPr>
        <w:t xml:space="preserve"> Chapter 2. Algorithm of forming value indicators of risk, used in controlling the customs value of goods</w:t>
      </w:r>
    </w:p>
    <w:bookmarkEnd w:id="8"/>
    <w:bookmarkStart w:name="z10" w:id="9"/>
    <w:p>
      <w:pPr>
        <w:spacing w:after="0"/>
        <w:ind w:left="0"/>
        <w:jc w:val="both"/>
      </w:pPr>
      <w:r>
        <w:rPr>
          <w:rFonts w:ascii="Times New Roman"/>
          <w:b w:val="false"/>
          <w:i w:val="false"/>
          <w:color w:val="000000"/>
          <w:sz w:val="28"/>
        </w:rPr>
        <w:t>
      3. Value indicators of risk containing certain criteria with predetermined parameters, deviation from which or compliance with which allows the choice of the object of control (hereinafter referred to as the value indicators of risk) shall be formed using the results of the analysis of information sources specified in clause 4 of this Methodology.</w:t>
      </w:r>
    </w:p>
    <w:bookmarkEnd w:id="9"/>
    <w:bookmarkStart w:name="z11" w:id="10"/>
    <w:p>
      <w:pPr>
        <w:spacing w:after="0"/>
        <w:ind w:left="0"/>
        <w:jc w:val="both"/>
      </w:pPr>
      <w:r>
        <w:rPr>
          <w:rFonts w:ascii="Times New Roman"/>
          <w:b w:val="false"/>
          <w:i w:val="false"/>
          <w:color w:val="000000"/>
          <w:sz w:val="28"/>
        </w:rPr>
        <w:t>
      4. The sources of information include:</w:t>
      </w:r>
    </w:p>
    <w:bookmarkEnd w:id="10"/>
    <w:p>
      <w:pPr>
        <w:spacing w:after="0"/>
        <w:ind w:left="0"/>
        <w:jc w:val="both"/>
      </w:pPr>
      <w:r>
        <w:rPr>
          <w:rFonts w:ascii="Times New Roman"/>
          <w:b w:val="false"/>
          <w:i w:val="false"/>
          <w:color w:val="000000"/>
          <w:sz w:val="28"/>
        </w:rPr>
        <w:t>
      1) database of electronic copies of goods declarations (hereinafter referred to as the GD) of the State Revenue Committee of the Ministry of Finance of the Republic of Kazakhstan (hereinafter referred to as the Committee);</w:t>
      </w:r>
    </w:p>
    <w:p>
      <w:pPr>
        <w:spacing w:after="0"/>
        <w:ind w:left="0"/>
        <w:jc w:val="both"/>
      </w:pPr>
      <w:r>
        <w:rPr>
          <w:rFonts w:ascii="Times New Roman"/>
          <w:b w:val="false"/>
          <w:i w:val="false"/>
          <w:color w:val="000000"/>
          <w:sz w:val="28"/>
        </w:rPr>
        <w:t>
      2) database of electronic copies of GD, directed within the framework of information exchange between the member states of the Eurasian Economic Union (hereinafter referred to as the EAEU);</w:t>
      </w:r>
    </w:p>
    <w:p>
      <w:pPr>
        <w:spacing w:after="0"/>
        <w:ind w:left="0"/>
        <w:jc w:val="both"/>
      </w:pPr>
      <w:r>
        <w:rPr>
          <w:rFonts w:ascii="Times New Roman"/>
          <w:b w:val="false"/>
          <w:i w:val="false"/>
          <w:color w:val="000000"/>
          <w:sz w:val="28"/>
        </w:rPr>
        <w:t>
      3) database of information exchange with the customs bodies of other states that are not members of the EAEU, with which there are relevant international agreements in the field of customs cooperation;</w:t>
      </w:r>
    </w:p>
    <w:p>
      <w:pPr>
        <w:spacing w:after="0"/>
        <w:ind w:left="0"/>
        <w:jc w:val="both"/>
      </w:pPr>
      <w:r>
        <w:rPr>
          <w:rFonts w:ascii="Times New Roman"/>
          <w:b w:val="false"/>
          <w:i w:val="false"/>
          <w:color w:val="000000"/>
          <w:sz w:val="28"/>
        </w:rPr>
        <w:t>
      4) database of foreign trade of the European Union;</w:t>
      </w:r>
    </w:p>
    <w:p>
      <w:pPr>
        <w:spacing w:after="0"/>
        <w:ind w:left="0"/>
        <w:jc w:val="both"/>
      </w:pPr>
      <w:r>
        <w:rPr>
          <w:rFonts w:ascii="Times New Roman"/>
          <w:b w:val="false"/>
          <w:i w:val="false"/>
          <w:color w:val="000000"/>
          <w:sz w:val="28"/>
        </w:rPr>
        <w:t>
      5) database of foreign trade of member countries of the Commonwealth of Independent States;</w:t>
      </w:r>
    </w:p>
    <w:p>
      <w:pPr>
        <w:spacing w:after="0"/>
        <w:ind w:left="0"/>
        <w:jc w:val="both"/>
      </w:pPr>
      <w:r>
        <w:rPr>
          <w:rFonts w:ascii="Times New Roman"/>
          <w:b w:val="false"/>
          <w:i w:val="false"/>
          <w:color w:val="000000"/>
          <w:sz w:val="28"/>
        </w:rPr>
        <w:t>
      6) database of foreign trade of the United Nations;</w:t>
      </w:r>
    </w:p>
    <w:p>
      <w:pPr>
        <w:spacing w:after="0"/>
        <w:ind w:left="0"/>
        <w:jc w:val="both"/>
      </w:pPr>
      <w:r>
        <w:rPr>
          <w:rFonts w:ascii="Times New Roman"/>
          <w:b w:val="false"/>
          <w:i w:val="false"/>
          <w:color w:val="000000"/>
          <w:sz w:val="28"/>
        </w:rPr>
        <w:t>
      7) price information submitted to the state revenue bodies by manufacturers of goods, subjects of foreign economic activity, carriers and other organizations whose activities are related to professional associations (associations);</w:t>
      </w:r>
    </w:p>
    <w:p>
      <w:pPr>
        <w:spacing w:after="0"/>
        <w:ind w:left="0"/>
        <w:jc w:val="both"/>
      </w:pPr>
      <w:r>
        <w:rPr>
          <w:rFonts w:ascii="Times New Roman"/>
          <w:b w:val="false"/>
          <w:i w:val="false"/>
          <w:color w:val="000000"/>
          <w:sz w:val="28"/>
        </w:rPr>
        <w:t>
      8) price researches;</w:t>
      </w:r>
    </w:p>
    <w:p>
      <w:pPr>
        <w:spacing w:after="0"/>
        <w:ind w:left="0"/>
        <w:jc w:val="both"/>
      </w:pPr>
      <w:r>
        <w:rPr>
          <w:rFonts w:ascii="Times New Roman"/>
          <w:b w:val="false"/>
          <w:i w:val="false"/>
          <w:color w:val="000000"/>
          <w:sz w:val="28"/>
        </w:rPr>
        <w:t>
      9) data of stock exchange quotations;</w:t>
      </w:r>
    </w:p>
    <w:p>
      <w:pPr>
        <w:spacing w:after="0"/>
        <w:ind w:left="0"/>
        <w:jc w:val="both"/>
      </w:pPr>
      <w:r>
        <w:rPr>
          <w:rFonts w:ascii="Times New Roman"/>
          <w:b w:val="false"/>
          <w:i w:val="false"/>
          <w:color w:val="000000"/>
          <w:sz w:val="28"/>
        </w:rPr>
        <w:t>
      10) price lists of manufacturers of goods;</w:t>
      </w:r>
    </w:p>
    <w:p>
      <w:pPr>
        <w:spacing w:after="0"/>
        <w:ind w:left="0"/>
        <w:jc w:val="both"/>
      </w:pPr>
      <w:r>
        <w:rPr>
          <w:rFonts w:ascii="Times New Roman"/>
          <w:b w:val="false"/>
          <w:i w:val="false"/>
          <w:color w:val="000000"/>
          <w:sz w:val="28"/>
        </w:rPr>
        <w:t>
      11) official websites of manufacturers of goods;</w:t>
      </w:r>
    </w:p>
    <w:p>
      <w:pPr>
        <w:spacing w:after="0"/>
        <w:ind w:left="0"/>
        <w:jc w:val="both"/>
      </w:pPr>
      <w:r>
        <w:rPr>
          <w:rFonts w:ascii="Times New Roman"/>
          <w:b w:val="false"/>
          <w:i w:val="false"/>
          <w:color w:val="000000"/>
          <w:sz w:val="28"/>
        </w:rPr>
        <w:t>
      12) information of mass media, Internet data.</w:t>
      </w:r>
    </w:p>
    <w:bookmarkStart w:name="z12" w:id="11"/>
    <w:p>
      <w:pPr>
        <w:spacing w:after="0"/>
        <w:ind w:left="0"/>
        <w:jc w:val="both"/>
      </w:pPr>
      <w:r>
        <w:rPr>
          <w:rFonts w:ascii="Times New Roman"/>
          <w:b w:val="false"/>
          <w:i w:val="false"/>
          <w:color w:val="000000"/>
          <w:sz w:val="28"/>
        </w:rPr>
        <w:t>
      5. When generating proposals for value indicators of risk, the following information shall be used from the database of electronic copies of GD:</w:t>
      </w:r>
    </w:p>
    <w:bookmarkEnd w:id="11"/>
    <w:p>
      <w:pPr>
        <w:spacing w:after="0"/>
        <w:ind w:left="0"/>
        <w:jc w:val="both"/>
      </w:pPr>
      <w:r>
        <w:rPr>
          <w:rFonts w:ascii="Times New Roman"/>
          <w:b w:val="false"/>
          <w:i w:val="false"/>
          <w:color w:val="000000"/>
          <w:sz w:val="28"/>
        </w:rPr>
        <w:t>
      1) data on customs procedure – release of goods, for domestic consumption without preceding customs procedure (IM 4000), in relation of which the customs control of the custom value was completed and a decision on the release of goods (information from column 37 GD) was made;</w:t>
      </w:r>
    </w:p>
    <w:p>
      <w:pPr>
        <w:spacing w:after="0"/>
        <w:ind w:left="0"/>
        <w:jc w:val="both"/>
      </w:pPr>
      <w:r>
        <w:rPr>
          <w:rFonts w:ascii="Times New Roman"/>
          <w:b w:val="false"/>
          <w:i w:val="false"/>
          <w:color w:val="000000"/>
          <w:sz w:val="28"/>
        </w:rPr>
        <w:t>
      2) a ten-digit product code in accordance with the Foreign Economic Activity Commodity nomenclature (hereinafter referred to as the FEACN EAEU) (information from column 33 GD);</w:t>
      </w:r>
    </w:p>
    <w:p>
      <w:pPr>
        <w:spacing w:after="0"/>
        <w:ind w:left="0"/>
        <w:jc w:val="both"/>
      </w:pPr>
      <w:r>
        <w:rPr>
          <w:rFonts w:ascii="Times New Roman"/>
          <w:b w:val="false"/>
          <w:i w:val="false"/>
          <w:color w:val="000000"/>
          <w:sz w:val="28"/>
        </w:rPr>
        <w:t>
      3) country of origin (information from column 34 GD);</w:t>
      </w:r>
    </w:p>
    <w:p>
      <w:pPr>
        <w:spacing w:after="0"/>
        <w:ind w:left="0"/>
        <w:jc w:val="both"/>
      </w:pPr>
      <w:r>
        <w:rPr>
          <w:rFonts w:ascii="Times New Roman"/>
          <w:b w:val="false"/>
          <w:i w:val="false"/>
          <w:color w:val="000000"/>
          <w:sz w:val="28"/>
        </w:rPr>
        <w:t>
      4) description of goods (information from column 31 GD);</w:t>
      </w:r>
    </w:p>
    <w:p>
      <w:pPr>
        <w:spacing w:after="0"/>
        <w:ind w:left="0"/>
        <w:jc w:val="both"/>
      </w:pPr>
      <w:r>
        <w:rPr>
          <w:rFonts w:ascii="Times New Roman"/>
          <w:b w:val="false"/>
          <w:i w:val="false"/>
          <w:color w:val="000000"/>
          <w:sz w:val="28"/>
        </w:rPr>
        <w:t>
      5) net weight (information from column 38 GD);</w:t>
      </w:r>
    </w:p>
    <w:p>
      <w:pPr>
        <w:spacing w:after="0"/>
        <w:ind w:left="0"/>
        <w:jc w:val="both"/>
      </w:pPr>
      <w:r>
        <w:rPr>
          <w:rFonts w:ascii="Times New Roman"/>
          <w:b w:val="false"/>
          <w:i w:val="false"/>
          <w:color w:val="000000"/>
          <w:sz w:val="28"/>
        </w:rPr>
        <w:t>
      6) quantity in additional measuring units (information from column 41 GD, right subsection);</w:t>
      </w:r>
    </w:p>
    <w:p>
      <w:pPr>
        <w:spacing w:after="0"/>
        <w:ind w:left="0"/>
        <w:jc w:val="both"/>
      </w:pPr>
      <w:r>
        <w:rPr>
          <w:rFonts w:ascii="Times New Roman"/>
          <w:b w:val="false"/>
          <w:i w:val="false"/>
          <w:color w:val="000000"/>
          <w:sz w:val="28"/>
        </w:rPr>
        <w:t>
      7) data on the method of determining the customs value – method of transaction value of imported goods (information from column 43 GD, first subsection).</w:t>
      </w:r>
    </w:p>
    <w:bookmarkStart w:name="z13" w:id="12"/>
    <w:p>
      <w:pPr>
        <w:spacing w:after="0"/>
        <w:ind w:left="0"/>
        <w:jc w:val="both"/>
      </w:pPr>
      <w:r>
        <w:rPr>
          <w:rFonts w:ascii="Times New Roman"/>
          <w:b w:val="false"/>
          <w:i w:val="false"/>
          <w:color w:val="000000"/>
          <w:sz w:val="28"/>
        </w:rPr>
        <w:t>
      6. When forming value indicators of risk for seasonal products, information from the GD electronic copy database for the same period last year shall be used.</w:t>
      </w:r>
    </w:p>
    <w:bookmarkEnd w:id="12"/>
    <w:bookmarkStart w:name="z14" w:id="13"/>
    <w:p>
      <w:pPr>
        <w:spacing w:after="0"/>
        <w:ind w:left="0"/>
        <w:jc w:val="both"/>
      </w:pPr>
      <w:r>
        <w:rPr>
          <w:rFonts w:ascii="Times New Roman"/>
          <w:b w:val="false"/>
          <w:i w:val="false"/>
          <w:color w:val="000000"/>
          <w:sz w:val="28"/>
        </w:rPr>
        <w:t>
      7. When forming value indicators of risk for the purposes of appropriate choice of the object of customs control, when exercising control over the customs value, the following shall be taken into account:</w:t>
      </w:r>
    </w:p>
    <w:bookmarkEnd w:id="13"/>
    <w:p>
      <w:pPr>
        <w:spacing w:after="0"/>
        <w:ind w:left="0"/>
        <w:jc w:val="both"/>
      </w:pPr>
      <w:r>
        <w:rPr>
          <w:rFonts w:ascii="Times New Roman"/>
          <w:b w:val="false"/>
          <w:i w:val="false"/>
          <w:color w:val="000000"/>
          <w:sz w:val="28"/>
        </w:rPr>
        <w:t>
      1) model, brand (if any);</w:t>
      </w:r>
    </w:p>
    <w:p>
      <w:pPr>
        <w:spacing w:after="0"/>
        <w:ind w:left="0"/>
        <w:jc w:val="both"/>
      </w:pPr>
      <w:r>
        <w:rPr>
          <w:rFonts w:ascii="Times New Roman"/>
          <w:b w:val="false"/>
          <w:i w:val="false"/>
          <w:color w:val="000000"/>
          <w:sz w:val="28"/>
        </w:rPr>
        <w:t>
      2) trademark (if any);</w:t>
      </w:r>
    </w:p>
    <w:p>
      <w:pPr>
        <w:spacing w:after="0"/>
        <w:ind w:left="0"/>
        <w:jc w:val="both"/>
      </w:pPr>
      <w:r>
        <w:rPr>
          <w:rFonts w:ascii="Times New Roman"/>
          <w:b w:val="false"/>
          <w:i w:val="false"/>
          <w:color w:val="000000"/>
          <w:sz w:val="28"/>
        </w:rPr>
        <w:t>
      3) type of transport on the border.</w:t>
      </w:r>
    </w:p>
    <w:bookmarkStart w:name="z15" w:id="14"/>
    <w:p>
      <w:pPr>
        <w:spacing w:after="0"/>
        <w:ind w:left="0"/>
        <w:jc w:val="both"/>
      </w:pPr>
      <w:r>
        <w:rPr>
          <w:rFonts w:ascii="Times New Roman"/>
          <w:b w:val="false"/>
          <w:i w:val="false"/>
          <w:color w:val="000000"/>
          <w:sz w:val="28"/>
        </w:rPr>
        <w:t>
      8. Value indicators of risk shall not be formed by unique - one-of-a-kind, exceptional products.</w:t>
      </w:r>
    </w:p>
    <w:bookmarkEnd w:id="14"/>
    <w:bookmarkStart w:name="z16" w:id="15"/>
    <w:p>
      <w:pPr>
        <w:spacing w:after="0"/>
        <w:ind w:left="0"/>
        <w:jc w:val="both"/>
      </w:pPr>
      <w:r>
        <w:rPr>
          <w:rFonts w:ascii="Times New Roman"/>
          <w:b w:val="false"/>
          <w:i w:val="false"/>
          <w:color w:val="000000"/>
          <w:sz w:val="28"/>
        </w:rPr>
        <w:t>
      9. The list of FEACN EAEU codes, for which the value indicators of risk are not formed, in accordance with clause 8 of this Methodology, shall be determined by the Working Group of the Committee for the Review of Draft Risk Profiles and approved by order of the Chairman of the Committee. This list is confidential information.</w:t>
      </w:r>
    </w:p>
    <w:bookmarkEnd w:id="15"/>
    <w:bookmarkStart w:name="z17" w:id="16"/>
    <w:p>
      <w:pPr>
        <w:spacing w:after="0"/>
        <w:ind w:left="0"/>
        <w:jc w:val="both"/>
      </w:pPr>
      <w:r>
        <w:rPr>
          <w:rFonts w:ascii="Times New Roman"/>
          <w:b w:val="false"/>
          <w:i w:val="false"/>
          <w:color w:val="000000"/>
          <w:sz w:val="28"/>
        </w:rPr>
        <w:t>
      10. When developing a value risk indicator, a ten-digit product code is indicated in accordance with the FEACN EAEU, description of goods, country of origin / group of countries of origin, net weight, value of the value risk indicator depending on the main or additional unit of measurement, source of information.</w:t>
      </w:r>
    </w:p>
    <w:bookmarkEnd w:id="16"/>
    <w:bookmarkStart w:name="z18" w:id="17"/>
    <w:p>
      <w:pPr>
        <w:spacing w:after="0"/>
        <w:ind w:left="0"/>
        <w:jc w:val="both"/>
      </w:pPr>
      <w:r>
        <w:rPr>
          <w:rFonts w:ascii="Times New Roman"/>
          <w:b w:val="false"/>
          <w:i w:val="false"/>
          <w:color w:val="000000"/>
          <w:sz w:val="28"/>
        </w:rPr>
        <w:t>
      11. If there are several sources of information, information from the database of the GD electronic copies shall be considered at first instance.</w:t>
      </w:r>
    </w:p>
    <w:bookmarkEnd w:id="17"/>
    <w:p>
      <w:pPr>
        <w:spacing w:after="0"/>
        <w:ind w:left="0"/>
        <w:jc w:val="both"/>
      </w:pPr>
      <w:r>
        <w:rPr>
          <w:rFonts w:ascii="Times New Roman"/>
          <w:b w:val="false"/>
          <w:i w:val="false"/>
          <w:color w:val="000000"/>
          <w:sz w:val="28"/>
        </w:rPr>
        <w:t>
      When forming a value risk indicator based on the database of electronic copies of GD according to the FEACN EAEU code and the country of origin from the general data array of customs values for 1 (one) unit of measure (kilogram net weight) or for 1 (one) additional unit of measure, it is most often taken repeating value of the customs value, converted into US dollars.</w:t>
      </w:r>
    </w:p>
    <w:p>
      <w:pPr>
        <w:spacing w:after="0"/>
        <w:ind w:left="0"/>
        <w:jc w:val="both"/>
      </w:pPr>
      <w:r>
        <w:rPr>
          <w:rFonts w:ascii="Times New Roman"/>
          <w:b w:val="false"/>
          <w:i w:val="false"/>
          <w:color w:val="000000"/>
          <w:sz w:val="28"/>
        </w:rPr>
        <w:t>
      Calculations shall be made for each of the codes in the context of groups of countries of origin for the previous 12 (twelve) calendar months.</w:t>
      </w:r>
    </w:p>
    <w:p>
      <w:pPr>
        <w:spacing w:after="0"/>
        <w:ind w:left="0"/>
        <w:jc w:val="both"/>
      </w:pPr>
      <w:r>
        <w:rPr>
          <w:rFonts w:ascii="Times New Roman"/>
          <w:b w:val="false"/>
          <w:i w:val="false"/>
          <w:color w:val="000000"/>
          <w:sz w:val="28"/>
        </w:rPr>
        <w:t>
      At the same time, the minimum and maximum values shall be preliminarily excluded from this data array.</w:t>
      </w:r>
    </w:p>
    <w:bookmarkStart w:name="z19" w:id="18"/>
    <w:p>
      <w:pPr>
        <w:spacing w:after="0"/>
        <w:ind w:left="0"/>
        <w:jc w:val="left"/>
      </w:pPr>
      <w:r>
        <w:rPr>
          <w:rFonts w:ascii="Times New Roman"/>
          <w:b/>
          <w:i w:val="false"/>
          <w:color w:val="000000"/>
        </w:rPr>
        <w:t xml:space="preserve"> Chapter 3. Actualization of value indicators of risk, used in controlling the customs value of goods</w:t>
      </w:r>
    </w:p>
    <w:bookmarkEnd w:id="18"/>
    <w:bookmarkStart w:name="z20" w:id="19"/>
    <w:p>
      <w:pPr>
        <w:spacing w:after="0"/>
        <w:ind w:left="0"/>
        <w:jc w:val="both"/>
      </w:pPr>
      <w:r>
        <w:rPr>
          <w:rFonts w:ascii="Times New Roman"/>
          <w:b w:val="false"/>
          <w:i w:val="false"/>
          <w:color w:val="000000"/>
          <w:sz w:val="28"/>
        </w:rPr>
        <w:t>
      13. Actualization of previously approved value indicators of risk is carried out by the Working Group of the Committee for consideration of projects of risk profiles once a month in the following cases:</w:t>
      </w:r>
    </w:p>
    <w:bookmarkEnd w:id="19"/>
    <w:p>
      <w:pPr>
        <w:spacing w:after="0"/>
        <w:ind w:left="0"/>
        <w:jc w:val="both"/>
      </w:pPr>
      <w:r>
        <w:rPr>
          <w:rFonts w:ascii="Times New Roman"/>
          <w:b w:val="false"/>
          <w:i w:val="false"/>
          <w:color w:val="000000"/>
          <w:sz w:val="28"/>
        </w:rPr>
        <w:t>
      1) when establishing the low efficiency of the cost risk indicator when analyzing additional penalties from the established cost risk indicator;</w:t>
      </w:r>
    </w:p>
    <w:p>
      <w:pPr>
        <w:spacing w:after="0"/>
        <w:ind w:left="0"/>
        <w:jc w:val="both"/>
      </w:pPr>
      <w:r>
        <w:rPr>
          <w:rFonts w:ascii="Times New Roman"/>
          <w:b w:val="false"/>
          <w:i w:val="false"/>
          <w:color w:val="000000"/>
          <w:sz w:val="28"/>
        </w:rPr>
        <w:t>
      2) when providing price information by associations, associations of subjects of foreign economic activity, carriers and other professional associations (associations);</w:t>
      </w:r>
    </w:p>
    <w:p>
      <w:pPr>
        <w:spacing w:after="0"/>
        <w:ind w:left="0"/>
        <w:jc w:val="both"/>
      </w:pPr>
      <w:r>
        <w:rPr>
          <w:rFonts w:ascii="Times New Roman"/>
          <w:b w:val="false"/>
          <w:i w:val="false"/>
          <w:color w:val="000000"/>
          <w:sz w:val="28"/>
        </w:rPr>
        <w:t>
      3) bringing the approved value risk indicator in line with the current conditions of international trade (changes in international trade that affected the value of the goods), by changing its value;</w:t>
      </w:r>
    </w:p>
    <w:p>
      <w:pPr>
        <w:spacing w:after="0"/>
        <w:ind w:left="0"/>
        <w:jc w:val="both"/>
      </w:pPr>
      <w:r>
        <w:rPr>
          <w:rFonts w:ascii="Times New Roman"/>
          <w:b w:val="false"/>
          <w:i w:val="false"/>
          <w:color w:val="000000"/>
          <w:sz w:val="28"/>
        </w:rPr>
        <w:t>
      4) bringing the approved value risk indicator in line with the FEACN EAEU due to the change of the goods code;</w:t>
      </w:r>
    </w:p>
    <w:p>
      <w:pPr>
        <w:spacing w:after="0"/>
        <w:ind w:left="0"/>
        <w:jc w:val="both"/>
      </w:pPr>
      <w:r>
        <w:rPr>
          <w:rFonts w:ascii="Times New Roman"/>
          <w:b w:val="false"/>
          <w:i w:val="false"/>
          <w:color w:val="000000"/>
          <w:sz w:val="28"/>
        </w:rPr>
        <w:t>
      5) upon cancellation of a previously approved value risk indicator following a meeting by the Working Group of the Committee for consideration of projects of risk profiles.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