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ebd9" w14:textId="bf0e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organisation and conduct of internal and external quality reviews of health services (care)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3 December 2020 № KR DSM-230/2020. Registered with the Ministry of Justice of the Republic of Kazakhstan on 4 December 2020 under № 21727.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5 of Article 35 of the Code of the Republic of Kazakhstan “On Public Health and Healthcare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 of the Republic of Kazakhstan dated 29.04.2022 № ҚР ДСМ-39 (effective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organisation and conduct of internal and external quality reviews of health services (care) shall be approved.</w:t>
      </w:r>
    </w:p>
    <w:p>
      <w:pPr>
        <w:spacing w:after="0"/>
        <w:ind w:left="0"/>
        <w:jc w:val="both"/>
      </w:pPr>
      <w:r>
        <w:rPr>
          <w:rFonts w:ascii="Times New Roman"/>
          <w:b w:val="false"/>
          <w:i w:val="false"/>
          <w:color w:val="000000"/>
          <w:sz w:val="28"/>
        </w:rPr>
        <w:t>
      2. That certain orders in the field of healthcare shall be deemed to have lost force pursuant to the Annex hereto.</w:t>
      </w:r>
    </w:p>
    <w:p>
      <w:pPr>
        <w:spacing w:after="0"/>
        <w:ind w:left="0"/>
        <w:jc w:val="both"/>
      </w:pPr>
      <w:r>
        <w:rPr>
          <w:rFonts w:ascii="Times New Roman"/>
          <w:b w:val="false"/>
          <w:i w:val="false"/>
          <w:color w:val="000000"/>
          <w:sz w:val="28"/>
        </w:rPr>
        <w:t>
      3. That, in the order established by the legislation of the Republic of Kazakhstan, the Committee for Medical and Pharmaceutical Control of the Ministry of Healthcare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posting hereof on the website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hereof, submission to the Legal Department of the Ministry of Healthcare of the Republic of Kazakhstan of information on the implementation of the measures stipulated in sub-paragraphs 1) and 2) of this paragraph.</w:t>
      </w:r>
    </w:p>
    <w:p>
      <w:pPr>
        <w:spacing w:after="0"/>
        <w:ind w:left="0"/>
        <w:jc w:val="both"/>
      </w:pPr>
      <w:r>
        <w:rPr>
          <w:rFonts w:ascii="Times New Roman"/>
          <w:b w:val="false"/>
          <w:i w:val="false"/>
          <w:color w:val="000000"/>
          <w:sz w:val="28"/>
        </w:rPr>
        <w:t>
      4. That the supervising Vice-Minister of Healthcare of the Republic of Kazakhstan shall be charged with control over this order.</w:t>
      </w:r>
    </w:p>
    <w:p>
      <w:pPr>
        <w:spacing w:after="0"/>
        <w:ind w:left="0"/>
        <w:jc w:val="both"/>
      </w:pPr>
      <w:r>
        <w:rPr>
          <w:rFonts w:ascii="Times New Roman"/>
          <w:b w:val="false"/>
          <w:i w:val="false"/>
          <w:color w:val="000000"/>
          <w:sz w:val="28"/>
        </w:rPr>
        <w:t>
      5. That this order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DSM-230/2020 </w:t>
            </w:r>
            <w:r>
              <w:br/>
            </w:r>
            <w:r>
              <w:rPr>
                <w:rFonts w:ascii="Times New Roman"/>
                <w:b w:val="false"/>
                <w:i w:val="false"/>
                <w:color w:val="000000"/>
                <w:sz w:val="20"/>
              </w:rPr>
              <w:t>dated December 3, 2020</w:t>
            </w:r>
          </w:p>
        </w:tc>
      </w:tr>
    </w:tbl>
    <w:p>
      <w:pPr>
        <w:spacing w:after="0"/>
        <w:ind w:left="0"/>
        <w:jc w:val="left"/>
      </w:pPr>
      <w:r>
        <w:rPr>
          <w:rFonts w:ascii="Times New Roman"/>
          <w:b/>
          <w:i w:val="false"/>
          <w:color w:val="000000"/>
        </w:rPr>
        <w:t xml:space="preserve"> Rules for organizing and conducting internal and external examinations of the quality of medical services (care)</w:t>
      </w:r>
    </w:p>
    <w:p>
      <w:pPr>
        <w:spacing w:after="0"/>
        <w:ind w:left="0"/>
        <w:jc w:val="both"/>
      </w:pPr>
      <w:r>
        <w:rPr>
          <w:rFonts w:ascii="Times New Roman"/>
          <w:b w:val="false"/>
          <w:i w:val="false"/>
          <w:color w:val="ff0000"/>
          <w:sz w:val="28"/>
        </w:rPr>
        <w:t>
      Footnote. Rules - as amended by the order of the Minister of Health of the Republic of Kazakhstan dated 06.06.2023 № 104 (effective ten calendar days after the date of its first official publication).</w:t>
      </w:r>
    </w:p>
    <w:bookmarkStart w:name="z228" w:id="0"/>
    <w:p>
      <w:pPr>
        <w:spacing w:after="0"/>
        <w:ind w:left="0"/>
        <w:jc w:val="left"/>
      </w:pPr>
      <w:r>
        <w:rPr>
          <w:rFonts w:ascii="Times New Roman"/>
          <w:b/>
          <w:i w:val="false"/>
          <w:color w:val="000000"/>
        </w:rPr>
        <w:t xml:space="preserve"> Chapter 1. General provisions</w:t>
      </w:r>
    </w:p>
    <w:bookmarkEnd w:id="0"/>
    <w:bookmarkStart w:name="z229" w:id="1"/>
    <w:p>
      <w:pPr>
        <w:spacing w:after="0"/>
        <w:ind w:left="0"/>
        <w:jc w:val="both"/>
      </w:pPr>
      <w:r>
        <w:rPr>
          <w:rFonts w:ascii="Times New Roman"/>
          <w:b w:val="false"/>
          <w:i w:val="false"/>
          <w:color w:val="000000"/>
          <w:sz w:val="28"/>
        </w:rPr>
        <w:t>
      1. These rules for organizing and conducting internal and external examinations of the quality of medical services (care) (hereinafter referred to as the Rules) were developed pursuant to paragraph 5 of Article 35 of the Code of the Republic of Kazakhstan “On Public Health and Healthcare system” (hereinafter referred to as the Code) and establish the procedure for organizing and conducting internal and external examinations of the quality of medical services (care) provided by healthcare entities, regardless of the form of ownership and departmental affiliation.</w:t>
      </w:r>
    </w:p>
    <w:bookmarkEnd w:id="1"/>
    <w:bookmarkStart w:name="z230" w:id="2"/>
    <w:p>
      <w:pPr>
        <w:spacing w:after="0"/>
        <w:ind w:left="0"/>
        <w:jc w:val="both"/>
      </w:pPr>
      <w:r>
        <w:rPr>
          <w:rFonts w:ascii="Times New Roman"/>
          <w:b w:val="false"/>
          <w:i w:val="false"/>
          <w:color w:val="000000"/>
          <w:sz w:val="28"/>
        </w:rPr>
        <w:t>
      2. The following terms shall be used in these Rules:</w:t>
      </w:r>
    </w:p>
    <w:bookmarkEnd w:id="2"/>
    <w:bookmarkStart w:name="z231" w:id="3"/>
    <w:p>
      <w:pPr>
        <w:spacing w:after="0"/>
        <w:ind w:left="0"/>
        <w:jc w:val="both"/>
      </w:pPr>
      <w:r>
        <w:rPr>
          <w:rFonts w:ascii="Times New Roman"/>
          <w:b w:val="false"/>
          <w:i w:val="false"/>
          <w:color w:val="000000"/>
          <w:sz w:val="28"/>
        </w:rPr>
        <w:t>
      1) in-hospital commissions - commissions established in health care organizations providing medical care (infection control commissions, commissions for the study of lethal outcomes, ethics commission, formulary commission);</w:t>
      </w:r>
    </w:p>
    <w:bookmarkEnd w:id="3"/>
    <w:bookmarkStart w:name="z232"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social health insurance fund (hereinafter referred to as the Fund) - a non-profit organization that accumulates deductions and contributions, and also procures and pays for the services of health care entities that provide medical care in the amounts and on the terms and conditions stipulated by the contract for the procurement of medical services, and other functions defined by the laws of the Republic of Kazakhstan;</w:t>
      </w:r>
    </w:p>
    <w:bookmarkEnd w:id="4"/>
    <w:p>
      <w:pPr>
        <w:spacing w:after="0"/>
        <w:ind w:left="0"/>
        <w:jc w:val="both"/>
      </w:pPr>
      <w:r>
        <w:rPr>
          <w:rFonts w:ascii="Times New Roman"/>
          <w:b w:val="false"/>
          <w:i w:val="false"/>
          <w:color w:val="000000"/>
          <w:sz w:val="28"/>
        </w:rPr>
        <w:t>
      3) profile specialist - a medical professional with higher medical education who holds a certificate in health care;</w:t>
      </w:r>
    </w:p>
    <w:bookmarkStart w:name="z234" w:id="5"/>
    <w:p>
      <w:pPr>
        <w:spacing w:after="0"/>
        <w:ind w:left="0"/>
        <w:jc w:val="both"/>
      </w:pPr>
      <w:r>
        <w:rPr>
          <w:rFonts w:ascii="Times New Roman"/>
          <w:b w:val="false"/>
          <w:i w:val="false"/>
          <w:color w:val="000000"/>
          <w:sz w:val="28"/>
        </w:rPr>
        <w:t>
      4) standard in the field of health care (hereinafter - the Standard) - a regulatory legal act that establishes rules, general principles and characteristics to ensure standardization in  healthcare in the field of medical, pharmaceutical activities, educational and scientific activities in  health care, digital healthcare;</w:t>
      </w:r>
    </w:p>
    <w:bookmarkEnd w:id="5"/>
    <w:bookmarkStart w:name="z235" w:id="6"/>
    <w:p>
      <w:pPr>
        <w:spacing w:after="0"/>
        <w:ind w:left="0"/>
        <w:jc w:val="both"/>
      </w:pPr>
      <w:r>
        <w:rPr>
          <w:rFonts w:ascii="Times New Roman"/>
          <w:b w:val="false"/>
          <w:i w:val="false"/>
          <w:color w:val="000000"/>
          <w:sz w:val="28"/>
        </w:rPr>
        <w:t>
      5) authorized health care body (hereinafter - authorized body) - a central executive body exercising management and cross-sectoral coordination in the health protection of citizens of the Republic of Kazakhstan, medical and pharmaceutical science, medical and pharmaceutical education, sanitary-epidemiological welfare of the population, circulation of medicines and medical devices, quality of medical services (assistance);</w:t>
      </w:r>
    </w:p>
    <w:bookmarkEnd w:id="6"/>
    <w:bookmarkStart w:name="z236" w:id="7"/>
    <w:p>
      <w:pPr>
        <w:spacing w:after="0"/>
        <w:ind w:left="0"/>
        <w:jc w:val="both"/>
      </w:pPr>
      <w:r>
        <w:rPr>
          <w:rFonts w:ascii="Times New Roman"/>
          <w:b w:val="false"/>
          <w:i w:val="false"/>
          <w:color w:val="000000"/>
          <w:sz w:val="28"/>
        </w:rPr>
        <w:t>
      6) treated case - a set of medical services rendered to a patient in inpatient and (or) hospital substitution conditions from the moment of admission to discharge;</w:t>
      </w:r>
    </w:p>
    <w:bookmarkEnd w:id="7"/>
    <w:bookmarkStart w:name="z237" w:id="8"/>
    <w:p>
      <w:pPr>
        <w:spacing w:after="0"/>
        <w:ind w:left="0"/>
        <w:jc w:val="both"/>
      </w:pPr>
      <w:r>
        <w:rPr>
          <w:rFonts w:ascii="Times New Roman"/>
          <w:b w:val="false"/>
          <w:i w:val="false"/>
          <w:color w:val="000000"/>
          <w:sz w:val="28"/>
        </w:rPr>
        <w:t>
      7) clinical audit - a detailed retrospective and (or) current analysis of conducted treatment and diagnostic activities for their compliance with health care standards;</w:t>
      </w:r>
    </w:p>
    <w:bookmarkEnd w:id="8"/>
    <w:p>
      <w:pPr>
        <w:spacing w:after="0"/>
        <w:ind w:left="0"/>
        <w:jc w:val="both"/>
      </w:pPr>
      <w:r>
        <w:rPr>
          <w:rFonts w:ascii="Times New Roman"/>
          <w:b w:val="false"/>
          <w:i w:val="false"/>
          <w:color w:val="000000"/>
          <w:sz w:val="28"/>
        </w:rPr>
        <w:t>
      8) clinical protocol – scientifically proven recommendations for prevention, diagnosis, treatment, medical rehabilitation and palliative care for a specific disease or condition of the patient;</w:t>
      </w:r>
    </w:p>
    <w:bookmarkStart w:name="z239" w:id="9"/>
    <w:p>
      <w:pPr>
        <w:spacing w:after="0"/>
        <w:ind w:left="0"/>
        <w:jc w:val="both"/>
      </w:pPr>
      <w:r>
        <w:rPr>
          <w:rFonts w:ascii="Times New Roman"/>
          <w:b w:val="false"/>
          <w:i w:val="false"/>
          <w:color w:val="000000"/>
          <w:sz w:val="28"/>
        </w:rPr>
        <w:t>
      9) medical services - actions of healthcare entities that have a preventive, diagnostic, therapeutic, rehabilitation and palliative orientation in relation to a specific person;</w:t>
      </w:r>
    </w:p>
    <w:bookmarkEnd w:id="9"/>
    <w:bookmarkStart w:name="z240" w:id="10"/>
    <w:p>
      <w:pPr>
        <w:spacing w:after="0"/>
        <w:ind w:left="0"/>
        <w:jc w:val="both"/>
      </w:pPr>
      <w:r>
        <w:rPr>
          <w:rFonts w:ascii="Times New Roman"/>
          <w:b w:val="false"/>
          <w:i w:val="false"/>
          <w:color w:val="000000"/>
          <w:sz w:val="28"/>
        </w:rPr>
        <w:t>
      10) examination of the quality of medical services (care) - a set of organizational, analytical and practical activities carried out to make a conclusion on the quality of medical services provided by individuals and legal entities, using external and internal indicators reflecting the indicator of efficiency, completeness and compliance of medical services with the Standards;</w:t>
      </w:r>
    </w:p>
    <w:bookmarkEnd w:id="10"/>
    <w:p>
      <w:pPr>
        <w:spacing w:after="0"/>
        <w:ind w:left="0"/>
        <w:jc w:val="both"/>
      </w:pPr>
      <w:r>
        <w:rPr>
          <w:rFonts w:ascii="Times New Roman"/>
          <w:b w:val="false"/>
          <w:i w:val="false"/>
          <w:color w:val="000000"/>
          <w:sz w:val="28"/>
        </w:rPr>
        <w:t>
      11) medical care - a set of medical services aimed at preserving and restoring the health of the population, including drug provision;</w:t>
      </w:r>
    </w:p>
    <w:bookmarkStart w:name="z242" w:id="11"/>
    <w:p>
      <w:pPr>
        <w:spacing w:after="0"/>
        <w:ind w:left="0"/>
        <w:jc w:val="both"/>
      </w:pPr>
      <w:r>
        <w:rPr>
          <w:rFonts w:ascii="Times New Roman"/>
          <w:b w:val="false"/>
          <w:i w:val="false"/>
          <w:color w:val="000000"/>
          <w:sz w:val="28"/>
        </w:rPr>
        <w:t>
      12) quality of medical care - the level of compliance of the provided medical care with the standards of medical care;</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44" w:id="12"/>
    <w:p>
      <w:pPr>
        <w:spacing w:after="0"/>
        <w:ind w:left="0"/>
        <w:jc w:val="both"/>
      </w:pPr>
      <w:r>
        <w:rPr>
          <w:rFonts w:ascii="Times New Roman"/>
          <w:b w:val="false"/>
          <w:i w:val="false"/>
          <w:color w:val="000000"/>
          <w:sz w:val="28"/>
        </w:rPr>
        <w:t>
      14) state body in the provision of medical services (care) (hereinafter - state body) - a state body exercising leadership in the  provision of medical services (care), control over the quality of medical services (care);</w:t>
      </w:r>
    </w:p>
    <w:bookmarkEnd w:id="12"/>
    <w:bookmarkStart w:name="z245" w:id="13"/>
    <w:p>
      <w:pPr>
        <w:spacing w:after="0"/>
        <w:ind w:left="0"/>
        <w:jc w:val="both"/>
      </w:pPr>
      <w:r>
        <w:rPr>
          <w:rFonts w:ascii="Times New Roman"/>
          <w:b w:val="false"/>
          <w:i w:val="false"/>
          <w:color w:val="000000"/>
          <w:sz w:val="28"/>
        </w:rPr>
        <w:t>
      15) a defect in the provision of medical services (hereinafter referred to as a Defect) - a violation of the procedure for the provision of medical services (assistance), expressed in non-compliance with the Standards, which affected the outcome of treatment and resulted in adverse consequences for the patient’s health, as well as the fact of an unconfirmed case of the provision of medical service and (or) assistance;</w:t>
      </w:r>
    </w:p>
    <w:bookmarkEnd w:id="13"/>
    <w:bookmarkStart w:name="z246" w:id="14"/>
    <w:p>
      <w:pPr>
        <w:spacing w:after="0"/>
        <w:ind w:left="0"/>
        <w:jc w:val="both"/>
      </w:pPr>
      <w:r>
        <w:rPr>
          <w:rFonts w:ascii="Times New Roman"/>
          <w:b w:val="false"/>
          <w:i w:val="false"/>
          <w:color w:val="000000"/>
          <w:sz w:val="28"/>
        </w:rPr>
        <w:t>
      16) retrospective analysis - analysis based on the study of medical records of patients who received medical care at the time of the expert review;</w:t>
      </w:r>
    </w:p>
    <w:bookmarkEnd w:id="14"/>
    <w:bookmarkStart w:name="z247" w:id="1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external indicators - indicators used in external examination that characterize efficiency, completeness and compliance of medical activity of a healthcare entity with healthcare standards in order to analyze and assess the quality of medical activity;</w:t>
      </w:r>
    </w:p>
    <w:bookmarkEnd w:id="15"/>
    <w:bookmarkStart w:name="z249" w:id="16"/>
    <w:p>
      <w:pPr>
        <w:spacing w:after="0"/>
        <w:ind w:left="0"/>
        <w:jc w:val="both"/>
      </w:pPr>
      <w:r>
        <w:rPr>
          <w:rFonts w:ascii="Times New Roman"/>
          <w:b w:val="false"/>
          <w:i w:val="false"/>
          <w:color w:val="000000"/>
          <w:sz w:val="28"/>
        </w:rPr>
        <w:t>
      18) independent expert - an individual who meets the requirements established by the authorized body and is on the register of independent experts;</w:t>
      </w:r>
    </w:p>
    <w:bookmarkEnd w:id="16"/>
    <w:p>
      <w:pPr>
        <w:spacing w:after="0"/>
        <w:ind w:left="0"/>
        <w:jc w:val="both"/>
      </w:pPr>
      <w:r>
        <w:rPr>
          <w:rFonts w:ascii="Times New Roman"/>
          <w:b w:val="false"/>
          <w:i w:val="false"/>
          <w:color w:val="000000"/>
          <w:sz w:val="28"/>
        </w:rPr>
        <w:t>
      19) internal indicators - indicators used in internal examination for the purposes of analysis and evaluation of the quality of medical activity, which characterize the efficiency, completeness of medical activity of each structural unit of the health care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50" w:id="17"/>
    <w:p>
      <w:pPr>
        <w:spacing w:after="0"/>
        <w:ind w:left="0"/>
        <w:jc w:val="both"/>
      </w:pPr>
      <w:r>
        <w:rPr>
          <w:rFonts w:ascii="Times New Roman"/>
          <w:b w:val="false"/>
          <w:i w:val="false"/>
          <w:color w:val="000000"/>
          <w:sz w:val="28"/>
        </w:rPr>
        <w:t>
      3. The stages of internal and external examination of the quality of medical services (care) are:</w:t>
      </w:r>
    </w:p>
    <w:bookmarkEnd w:id="17"/>
    <w:p>
      <w:pPr>
        <w:spacing w:after="0"/>
        <w:ind w:left="0"/>
        <w:jc w:val="both"/>
      </w:pPr>
      <w:r>
        <w:rPr>
          <w:rFonts w:ascii="Times New Roman"/>
          <w:b w:val="false"/>
          <w:i w:val="false"/>
          <w:color w:val="000000"/>
          <w:sz w:val="28"/>
        </w:rPr>
        <w:t>
      analyzing accounting and reporting documentation;</w:t>
      </w:r>
    </w:p>
    <w:p>
      <w:pPr>
        <w:spacing w:after="0"/>
        <w:ind w:left="0"/>
        <w:jc w:val="both"/>
      </w:pPr>
      <w:r>
        <w:rPr>
          <w:rFonts w:ascii="Times New Roman"/>
          <w:b w:val="false"/>
          <w:i w:val="false"/>
          <w:color w:val="000000"/>
          <w:sz w:val="28"/>
        </w:rPr>
        <w:t>
      clinical audit;</w:t>
      </w:r>
    </w:p>
    <w:p>
      <w:pPr>
        <w:spacing w:after="0"/>
        <w:ind w:left="0"/>
        <w:jc w:val="both"/>
      </w:pPr>
      <w:r>
        <w:rPr>
          <w:rFonts w:ascii="Times New Roman"/>
          <w:b w:val="false"/>
          <w:i w:val="false"/>
          <w:color w:val="000000"/>
          <w:sz w:val="28"/>
        </w:rPr>
        <w:t>
      generalization of the results of expert examination of the quality of medical services (care).</w:t>
      </w:r>
    </w:p>
    <w:bookmarkStart w:name="z254" w:id="18"/>
    <w:p>
      <w:pPr>
        <w:spacing w:after="0"/>
        <w:ind w:left="0"/>
        <w:jc w:val="both"/>
      </w:pPr>
      <w:r>
        <w:rPr>
          <w:rFonts w:ascii="Times New Roman"/>
          <w:b w:val="false"/>
          <w:i w:val="false"/>
          <w:color w:val="000000"/>
          <w:sz w:val="28"/>
        </w:rPr>
        <w:t>
      4. During the examination, the activities of the medical organization and the quality of the medical care it provides shall be assessed for compliance with the standards for organizing the provision of medical care in the profile, the rules for the provision of medical care using the results of monitoring the indicators of internal and external indicators, including using an analysis of the dynamics of changes in indicators for the analyzed periods.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55" w:id="19"/>
    <w:p>
      <w:pPr>
        <w:spacing w:after="0"/>
        <w:ind w:left="0"/>
        <w:jc w:val="both"/>
      </w:pPr>
      <w:r>
        <w:rPr>
          <w:rFonts w:ascii="Times New Roman"/>
          <w:b w:val="false"/>
          <w:i w:val="false"/>
          <w:color w:val="000000"/>
          <w:sz w:val="28"/>
        </w:rPr>
        <w:t>
      5. During the clinical audit, the expert shall form a reasoned, substantiated conclusion based on the standards of medical care organization, rules of medical care, clinical protocols for diagnosis and treatment, instructions, algorithms, standards of medical organizations, and scientifically proven international data. The identified defects with violation of the quality of medical care shall be confirmed by logical conclusions with references to the standards of medical care organization, rules of medical care, clinical protocols for diagnosis and treatment, instructions, algorithms, standards of medical organizations, scientifically proven international data, recognized sources of evidence-based medicine.</w:t>
      </w:r>
    </w:p>
    <w:bookmarkEnd w:id="19"/>
    <w:p>
      <w:pPr>
        <w:spacing w:after="0"/>
        <w:ind w:left="0"/>
        <w:jc w:val="both"/>
      </w:pPr>
      <w:r>
        <w:rPr>
          <w:rFonts w:ascii="Times New Roman"/>
          <w:b w:val="false"/>
          <w:i w:val="false"/>
          <w:color w:val="000000"/>
          <w:sz w:val="28"/>
        </w:rPr>
        <w:t>
      When examining medical records, the following categories of medical records shall be assessed:</w:t>
      </w:r>
    </w:p>
    <w:p>
      <w:pPr>
        <w:spacing w:after="0"/>
        <w:ind w:left="0"/>
        <w:jc w:val="both"/>
      </w:pPr>
      <w:r>
        <w:rPr>
          <w:rFonts w:ascii="Times New Roman"/>
          <w:b w:val="false"/>
          <w:i w:val="false"/>
          <w:color w:val="000000"/>
          <w:sz w:val="28"/>
        </w:rPr>
        <w:t>
      Collection of complaints;</w:t>
      </w:r>
    </w:p>
    <w:p>
      <w:pPr>
        <w:spacing w:after="0"/>
        <w:ind w:left="0"/>
        <w:jc w:val="both"/>
      </w:pPr>
      <w:r>
        <w:rPr>
          <w:rFonts w:ascii="Times New Roman"/>
          <w:b w:val="false"/>
          <w:i w:val="false"/>
          <w:color w:val="000000"/>
          <w:sz w:val="28"/>
        </w:rPr>
        <w:t>
      History of the disease;</w:t>
      </w:r>
    </w:p>
    <w:p>
      <w:pPr>
        <w:spacing w:after="0"/>
        <w:ind w:left="0"/>
        <w:jc w:val="both"/>
      </w:pPr>
      <w:r>
        <w:rPr>
          <w:rFonts w:ascii="Times New Roman"/>
          <w:b w:val="false"/>
          <w:i w:val="false"/>
          <w:color w:val="000000"/>
          <w:sz w:val="28"/>
        </w:rPr>
        <w:t>
      Anamnesis of life;</w:t>
      </w:r>
    </w:p>
    <w:p>
      <w:pPr>
        <w:spacing w:after="0"/>
        <w:ind w:left="0"/>
        <w:jc w:val="both"/>
      </w:pPr>
      <w:r>
        <w:rPr>
          <w:rFonts w:ascii="Times New Roman"/>
          <w:b w:val="false"/>
          <w:i w:val="false"/>
          <w:color w:val="000000"/>
          <w:sz w:val="28"/>
        </w:rPr>
        <w:t>
      Objective status;</w:t>
      </w:r>
    </w:p>
    <w:p>
      <w:pPr>
        <w:spacing w:after="0"/>
        <w:ind w:left="0"/>
        <w:jc w:val="both"/>
      </w:pPr>
      <w:r>
        <w:rPr>
          <w:rFonts w:ascii="Times New Roman"/>
          <w:b w:val="false"/>
          <w:i w:val="false"/>
          <w:color w:val="000000"/>
          <w:sz w:val="28"/>
        </w:rPr>
        <w:t>
      Clinical diagnosis;</w:t>
      </w:r>
    </w:p>
    <w:p>
      <w:pPr>
        <w:spacing w:after="0"/>
        <w:ind w:left="0"/>
        <w:jc w:val="both"/>
      </w:pPr>
      <w:r>
        <w:rPr>
          <w:rFonts w:ascii="Times New Roman"/>
          <w:b w:val="false"/>
          <w:i w:val="false"/>
          <w:color w:val="000000"/>
          <w:sz w:val="28"/>
        </w:rPr>
        <w:t>
      Diagnostic studies;</w:t>
      </w:r>
    </w:p>
    <w:p>
      <w:pPr>
        <w:spacing w:after="0"/>
        <w:ind w:left="0"/>
        <w:jc w:val="both"/>
      </w:pPr>
      <w:r>
        <w:rPr>
          <w:rFonts w:ascii="Times New Roman"/>
          <w:b w:val="false"/>
          <w:i w:val="false"/>
          <w:color w:val="000000"/>
          <w:sz w:val="28"/>
        </w:rPr>
        <w:t>
      Treatment measures;</w:t>
      </w:r>
    </w:p>
    <w:p>
      <w:pPr>
        <w:spacing w:after="0"/>
        <w:ind w:left="0"/>
        <w:jc w:val="both"/>
      </w:pPr>
      <w:r>
        <w:rPr>
          <w:rFonts w:ascii="Times New Roman"/>
          <w:b w:val="false"/>
          <w:i w:val="false"/>
          <w:color w:val="000000"/>
          <w:sz w:val="28"/>
        </w:rPr>
        <w:t>
      Epicrisis;</w:t>
      </w:r>
    </w:p>
    <w:p>
      <w:pPr>
        <w:spacing w:after="0"/>
        <w:ind w:left="0"/>
        <w:jc w:val="both"/>
      </w:pPr>
      <w:r>
        <w:rPr>
          <w:rFonts w:ascii="Times New Roman"/>
          <w:b w:val="false"/>
          <w:i w:val="false"/>
          <w:color w:val="000000"/>
          <w:sz w:val="28"/>
        </w:rPr>
        <w:t>
      Pathologicoanatomic diagnosis.</w:t>
      </w:r>
    </w:p>
    <w:p>
      <w:pPr>
        <w:spacing w:after="0"/>
        <w:ind w:left="0"/>
        <w:jc w:val="both"/>
      </w:pPr>
      <w:r>
        <w:rPr>
          <w:rFonts w:ascii="Times New Roman"/>
          <w:b w:val="false"/>
          <w:i w:val="false"/>
          <w:color w:val="000000"/>
          <w:sz w:val="28"/>
        </w:rPr>
        <w:t>
      When assessing these categories, the following shall be assessed:</w:t>
      </w:r>
    </w:p>
    <w:p>
      <w:pPr>
        <w:spacing w:after="0"/>
        <w:ind w:left="0"/>
        <w:jc w:val="both"/>
      </w:pPr>
      <w:r>
        <w:rPr>
          <w:rFonts w:ascii="Times New Roman"/>
          <w:b w:val="false"/>
          <w:i w:val="false"/>
          <w:color w:val="000000"/>
          <w:sz w:val="28"/>
        </w:rPr>
        <w:t>
      Correspondence of description to clinical data.</w:t>
      </w:r>
    </w:p>
    <w:p>
      <w:pPr>
        <w:spacing w:after="0"/>
        <w:ind w:left="0"/>
        <w:jc w:val="both"/>
      </w:pPr>
      <w:r>
        <w:rPr>
          <w:rFonts w:ascii="Times New Roman"/>
          <w:b w:val="false"/>
          <w:i w:val="false"/>
          <w:color w:val="000000"/>
          <w:sz w:val="28"/>
        </w:rPr>
        <w:t>
      The correctness of the diagnosis, the choice of diagnostic clinical tactics, as well as the assessment of the effectiveness of the decisions taken, clinical protocols for diagnosis and treatment, standards for the provision of medical care, rules for the provision of medical care, and evidence from scientific publications.</w:t>
      </w:r>
    </w:p>
    <w:p>
      <w:pPr>
        <w:spacing w:after="0"/>
        <w:ind w:left="0"/>
        <w:jc w:val="both"/>
      </w:pPr>
      <w:r>
        <w:rPr>
          <w:rFonts w:ascii="Times New Roman"/>
          <w:b w:val="false"/>
          <w:i w:val="false"/>
          <w:color w:val="000000"/>
          <w:sz w:val="28"/>
        </w:rPr>
        <w:t>
      Timely diagnosis, and recognition of concomitant diseases and complications.</w:t>
      </w:r>
    </w:p>
    <w:p>
      <w:pPr>
        <w:spacing w:after="0"/>
        <w:ind w:left="0"/>
        <w:jc w:val="both"/>
      </w:pPr>
      <w:r>
        <w:rPr>
          <w:rFonts w:ascii="Times New Roman"/>
          <w:b w:val="false"/>
          <w:i w:val="false"/>
          <w:color w:val="000000"/>
          <w:sz w:val="28"/>
        </w:rPr>
        <w:t>
      Timely and complete consultation, taking into account the opinion of a specialist when making a diagnosis and developing further treatment tactics.</w:t>
      </w:r>
    </w:p>
    <w:p>
      <w:pPr>
        <w:spacing w:after="0"/>
        <w:ind w:left="0"/>
        <w:jc w:val="both"/>
      </w:pPr>
      <w:r>
        <w:rPr>
          <w:rFonts w:ascii="Times New Roman"/>
          <w:b w:val="false"/>
          <w:i w:val="false"/>
          <w:color w:val="000000"/>
          <w:sz w:val="28"/>
        </w:rPr>
        <w:t>
      Timeliness of the necessary treatment.</w:t>
      </w:r>
    </w:p>
    <w:p>
      <w:pPr>
        <w:spacing w:after="0"/>
        <w:ind w:left="0"/>
        <w:jc w:val="both"/>
      </w:pPr>
      <w:r>
        <w:rPr>
          <w:rFonts w:ascii="Times New Roman"/>
          <w:b w:val="false"/>
          <w:i w:val="false"/>
          <w:color w:val="000000"/>
          <w:sz w:val="28"/>
        </w:rPr>
        <w:t>
      The absence or development of complications after medical interventions, all complications that have arisen are assessed, including those caused by surgical interventions (late surgical intervention, inadequate volume and technical defects) and diagnostic procedures. Complications expected for a given disease or treatment, described in clinical protocols, and those that are not a consequence of defects in the provision of medical care are separately identified.</w:t>
      </w:r>
    </w:p>
    <w:p>
      <w:pPr>
        <w:spacing w:after="0"/>
        <w:ind w:left="0"/>
        <w:jc w:val="both"/>
      </w:pPr>
      <w:r>
        <w:rPr>
          <w:rFonts w:ascii="Times New Roman"/>
          <w:b w:val="false"/>
          <w:i w:val="false"/>
          <w:color w:val="000000"/>
          <w:sz w:val="28"/>
        </w:rPr>
        <w:t>
      Lack of the expected clinical result due to the characteristics of the course or severity of the disease, due to severity of the disease, limitations of the current level of scientific knowledge and medical technologies.</w:t>
      </w:r>
    </w:p>
    <w:p>
      <w:pPr>
        <w:spacing w:after="0"/>
        <w:ind w:left="0"/>
        <w:jc w:val="both"/>
      </w:pPr>
      <w:r>
        <w:rPr>
          <w:rFonts w:ascii="Times New Roman"/>
          <w:b w:val="false"/>
          <w:i w:val="false"/>
          <w:color w:val="000000"/>
          <w:sz w:val="28"/>
        </w:rPr>
        <w:t>
      When assessing the impact of identified discrepancies on the quality of medical care provided, the expert provides logical conclusions with arguments.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75" w:id="20"/>
    <w:p>
      <w:pPr>
        <w:spacing w:after="0"/>
        <w:ind w:left="0"/>
        <w:jc w:val="both"/>
      </w:pPr>
      <w:r>
        <w:rPr>
          <w:rFonts w:ascii="Times New Roman"/>
          <w:b w:val="false"/>
          <w:i w:val="false"/>
          <w:color w:val="000000"/>
          <w:sz w:val="28"/>
        </w:rPr>
        <w:t>
      6. When summarizing the results of the examination of the quality of medical services (assistance), a decision shall be made on the compliance (non-compliance) of the medical assistance provided with the requirements of the Standards.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76" w:id="21"/>
    <w:p>
      <w:pPr>
        <w:spacing w:after="0"/>
        <w:ind w:left="0"/>
        <w:jc w:val="both"/>
      </w:pPr>
      <w:r>
        <w:rPr>
          <w:rFonts w:ascii="Times New Roman"/>
          <w:b w:val="false"/>
          <w:i w:val="false"/>
          <w:color w:val="000000"/>
          <w:sz w:val="28"/>
        </w:rPr>
        <w:t>
      7. Expert examination of the quality of medical services (care) shall be carried out with the participation of the patient, if necessary.</w:t>
      </w:r>
    </w:p>
    <w:bookmarkEnd w:id="21"/>
    <w:bookmarkStart w:name="z277" w:id="22"/>
    <w:p>
      <w:pPr>
        <w:spacing w:after="0"/>
        <w:ind w:left="0"/>
        <w:jc w:val="both"/>
      </w:pPr>
      <w:r>
        <w:rPr>
          <w:rFonts w:ascii="Times New Roman"/>
          <w:b w:val="false"/>
          <w:i w:val="false"/>
          <w:color w:val="000000"/>
          <w:sz w:val="28"/>
        </w:rPr>
        <w:t>
      8. For fatal cases, a completed and complete examination is considered to be a comparison of the results of a retrospective analysis, pathological autopsy and (or) forensic medical examination.</w:t>
      </w:r>
    </w:p>
    <w:bookmarkEnd w:id="22"/>
    <w:bookmarkStart w:name="z278" w:id="23"/>
    <w:p>
      <w:pPr>
        <w:spacing w:after="0"/>
        <w:ind w:left="0"/>
        <w:jc w:val="both"/>
      </w:pPr>
      <w:r>
        <w:rPr>
          <w:rFonts w:ascii="Times New Roman"/>
          <w:b w:val="false"/>
          <w:i w:val="false"/>
          <w:color w:val="000000"/>
          <w:sz w:val="28"/>
        </w:rPr>
        <w:t>
      Medical records and electronic healthcare information resources shall be used as a source of information during the examination.</w:t>
      </w:r>
    </w:p>
    <w:bookmarkEnd w:id="23"/>
    <w:bookmarkStart w:name="z279" w:id="24"/>
    <w:p>
      <w:pPr>
        <w:spacing w:after="0"/>
        <w:ind w:left="0"/>
        <w:jc w:val="left"/>
      </w:pPr>
      <w:r>
        <w:rPr>
          <w:rFonts w:ascii="Times New Roman"/>
          <w:b/>
          <w:i w:val="false"/>
          <w:color w:val="000000"/>
        </w:rPr>
        <w:t xml:space="preserve"> Chapter 2. Procedure for organizing and conducting an internal </w:t>
      </w:r>
      <w:r>
        <w:br/>
      </w:r>
      <w:r>
        <w:rPr>
          <w:rFonts w:ascii="Times New Roman"/>
          <w:b/>
          <w:i w:val="false"/>
          <w:color w:val="000000"/>
        </w:rPr>
        <w:t>expert examination of the quality of medical services (care)</w:t>
      </w:r>
    </w:p>
    <w:bookmarkEnd w:id="24"/>
    <w:bookmarkStart w:name="z280" w:id="25"/>
    <w:p>
      <w:pPr>
        <w:spacing w:after="0"/>
        <w:ind w:left="0"/>
        <w:jc w:val="both"/>
      </w:pPr>
      <w:r>
        <w:rPr>
          <w:rFonts w:ascii="Times New Roman"/>
          <w:b w:val="false"/>
          <w:i w:val="false"/>
          <w:color w:val="000000"/>
          <w:sz w:val="28"/>
        </w:rPr>
        <w:t>
      9. To manage the quality of medical care provided, organize quality management and standardization in a medical organization, organize and conduct internal examination, including clinical audit in a medical organization, regardless of the form of ownership, a patient support and internal examination service (hereinafter referred to as the Service) shall be created.</w:t>
      </w:r>
    </w:p>
    <w:bookmarkEnd w:id="25"/>
    <w:p>
      <w:pPr>
        <w:spacing w:after="0"/>
        <w:ind w:left="0"/>
        <w:jc w:val="both"/>
      </w:pPr>
      <w:r>
        <w:rPr>
          <w:rFonts w:ascii="Times New Roman"/>
          <w:b w:val="false"/>
          <w:i w:val="false"/>
          <w:color w:val="000000"/>
          <w:sz w:val="28"/>
        </w:rPr>
        <w:t>
      The service shall be headed by a manager who is directly subordinate and appointed to the position by the first manager of the medical organization; the position of deputy first manager for the quality of medical care shall be also approved at the discretion of the first manager of the medical organization.</w:t>
      </w:r>
    </w:p>
    <w:p>
      <w:pPr>
        <w:spacing w:after="0"/>
        <w:ind w:left="0"/>
        <w:jc w:val="both"/>
      </w:pPr>
      <w:r>
        <w:rPr>
          <w:rFonts w:ascii="Times New Roman"/>
          <w:b w:val="false"/>
          <w:i w:val="false"/>
          <w:color w:val="000000"/>
          <w:sz w:val="28"/>
        </w:rPr>
        <w:t>
      The structure and composition of the Service shall be approved by the head of the medical organization, taking into account the volume of medical services provided, profile, capacity for organizations providing medical care in inpatient and inpatient-replacing conditions, the number of assigned populations for organizations providing outpatient and polyclinic care.</w:t>
      </w:r>
    </w:p>
    <w:p>
      <w:pPr>
        <w:spacing w:after="0"/>
        <w:ind w:left="0"/>
        <w:jc w:val="both"/>
      </w:pPr>
      <w:r>
        <w:rPr>
          <w:rFonts w:ascii="Times New Roman"/>
          <w:b w:val="false"/>
          <w:i w:val="false"/>
          <w:color w:val="000000"/>
          <w:sz w:val="28"/>
        </w:rPr>
        <w:t>
      In the absence of an assigned population at a healthcare entity, the structure and composition of the Service shall be approved taking into account the number of medical workers and/or the volume of medical services provided.</w:t>
      </w:r>
    </w:p>
    <w:p>
      <w:pPr>
        <w:spacing w:after="0"/>
        <w:ind w:left="0"/>
        <w:jc w:val="both"/>
      </w:pPr>
      <w:r>
        <w:rPr>
          <w:rFonts w:ascii="Times New Roman"/>
          <w:b w:val="false"/>
          <w:i w:val="false"/>
          <w:color w:val="000000"/>
          <w:sz w:val="28"/>
        </w:rPr>
        <w:t>
      In healthcare entities where the staffing structure does not exceed 5 units, the function of the Service shall be assigned to the first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85"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The Service shall provide for the positions of medical experts, health managers, and, if necessary, social workers and psychologists, depending on the standards of organization of medical care, rules for the provision of medical care and the tasks of the medical organization. To conduct a clinical audit, doctors, epidemiologists, nurses, pharmacists, clinical pharmacologists, economists and medical statisticians shall be involved both as independent consultants and from among the employees of the medical organization.</w:t>
      </w:r>
    </w:p>
    <w:bookmarkEnd w:id="26"/>
    <w:p>
      <w:pPr>
        <w:spacing w:after="0"/>
        <w:ind w:left="0"/>
        <w:jc w:val="both"/>
      </w:pPr>
      <w:r>
        <w:rPr>
          <w:rFonts w:ascii="Times New Roman"/>
          <w:b w:val="false"/>
          <w:i w:val="false"/>
          <w:color w:val="000000"/>
          <w:sz w:val="28"/>
        </w:rPr>
        <w:t>
      The Service, within the framework of the organization of quality management and standardization of medical care, shall provide methodological guidance to structural divisions of the medical organization on the implementation and maintenance of international and national accreditation standards, self-assessment for compliance with the requirements of these standards, implements and evaluates the effectiveness of programs for continuous improvement of quality and patient safety, and the employees of the Service undergo advanced training in matters of examination of the quality of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9-1 in accordance with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Service shall conduct an examination of:</w:t>
      </w:r>
    </w:p>
    <w:p>
      <w:pPr>
        <w:spacing w:after="0"/>
        <w:ind w:left="0"/>
        <w:jc w:val="both"/>
      </w:pPr>
      <w:r>
        <w:rPr>
          <w:rFonts w:ascii="Times New Roman"/>
          <w:b w:val="false"/>
          <w:i w:val="false"/>
          <w:color w:val="000000"/>
          <w:sz w:val="28"/>
        </w:rPr>
        <w:t>
      1) in organizations providing inpatient or hospital substitute care, at least 15% of treated cases per month, as well as all cases of:</w:t>
      </w:r>
    </w:p>
    <w:p>
      <w:pPr>
        <w:spacing w:after="0"/>
        <w:ind w:left="0"/>
        <w:jc w:val="both"/>
      </w:pPr>
      <w:r>
        <w:rPr>
          <w:rFonts w:ascii="Times New Roman"/>
          <w:b w:val="false"/>
          <w:i w:val="false"/>
          <w:color w:val="000000"/>
          <w:sz w:val="28"/>
        </w:rPr>
        <w:t>
      fatal outcomes;</w:t>
      </w:r>
    </w:p>
    <w:p>
      <w:pPr>
        <w:spacing w:after="0"/>
        <w:ind w:left="0"/>
        <w:jc w:val="both"/>
      </w:pPr>
      <w:r>
        <w:rPr>
          <w:rFonts w:ascii="Times New Roman"/>
          <w:b w:val="false"/>
          <w:i w:val="false"/>
          <w:color w:val="000000"/>
          <w:sz w:val="28"/>
        </w:rPr>
        <w:t>
      complications, including postoperative ones;</w:t>
      </w:r>
    </w:p>
    <w:p>
      <w:pPr>
        <w:spacing w:after="0"/>
        <w:ind w:left="0"/>
        <w:jc w:val="both"/>
      </w:pPr>
      <w:r>
        <w:rPr>
          <w:rFonts w:ascii="Times New Roman"/>
          <w:b w:val="false"/>
          <w:i w:val="false"/>
          <w:color w:val="000000"/>
          <w:sz w:val="28"/>
        </w:rPr>
        <w:t>
      intrahospital;</w:t>
      </w:r>
    </w:p>
    <w:bookmarkStart w:name="z290" w:id="27"/>
    <w:p>
      <w:pPr>
        <w:spacing w:after="0"/>
        <w:ind w:left="0"/>
        <w:jc w:val="both"/>
      </w:pPr>
      <w:r>
        <w:rPr>
          <w:rFonts w:ascii="Times New Roman"/>
          <w:b w:val="false"/>
          <w:i w:val="false"/>
          <w:color w:val="000000"/>
          <w:sz w:val="28"/>
        </w:rPr>
        <w:t>
      re-hospitalization for the same disease within one month due to poor quality of previous treatment;</w:t>
      </w:r>
    </w:p>
    <w:bookmarkEnd w:id="27"/>
    <w:bookmarkStart w:name="z291" w:id="28"/>
    <w:p>
      <w:pPr>
        <w:spacing w:after="0"/>
        <w:ind w:left="0"/>
        <w:jc w:val="both"/>
      </w:pPr>
      <w:r>
        <w:rPr>
          <w:rFonts w:ascii="Times New Roman"/>
          <w:b w:val="false"/>
          <w:i w:val="false"/>
          <w:color w:val="000000"/>
          <w:sz w:val="28"/>
        </w:rPr>
        <w:t>
      increase or decrease in the duration of treatment;</w:t>
      </w:r>
    </w:p>
    <w:bookmarkEnd w:id="28"/>
    <w:bookmarkStart w:name="z292" w:id="29"/>
    <w:p>
      <w:pPr>
        <w:spacing w:after="0"/>
        <w:ind w:left="0"/>
        <w:jc w:val="both"/>
      </w:pPr>
      <w:r>
        <w:rPr>
          <w:rFonts w:ascii="Times New Roman"/>
          <w:b w:val="false"/>
          <w:i w:val="false"/>
          <w:color w:val="000000"/>
          <w:sz w:val="28"/>
        </w:rPr>
        <w:t>
      discrepancies between clinical and pathologic-anatomical diagnoses;</w:t>
      </w:r>
    </w:p>
    <w:bookmarkEnd w:id="29"/>
    <w:bookmarkStart w:name="z293" w:id="30"/>
    <w:p>
      <w:pPr>
        <w:spacing w:after="0"/>
        <w:ind w:left="0"/>
        <w:jc w:val="both"/>
      </w:pPr>
      <w:r>
        <w:rPr>
          <w:rFonts w:ascii="Times New Roman"/>
          <w:b w:val="false"/>
          <w:i w:val="false"/>
          <w:color w:val="000000"/>
          <w:sz w:val="28"/>
        </w:rPr>
        <w:t>
      unjustified hospitalization;</w:t>
      </w:r>
    </w:p>
    <w:bookmarkEnd w:id="30"/>
    <w:bookmarkStart w:name="z294" w:id="31"/>
    <w:p>
      <w:pPr>
        <w:spacing w:after="0"/>
        <w:ind w:left="0"/>
        <w:jc w:val="both"/>
      </w:pPr>
      <w:r>
        <w:rPr>
          <w:rFonts w:ascii="Times New Roman"/>
          <w:b w:val="false"/>
          <w:i w:val="false"/>
          <w:color w:val="000000"/>
          <w:sz w:val="28"/>
        </w:rPr>
        <w:t>
      20% of cases of hemotransfusions performed.</w:t>
      </w:r>
    </w:p>
    <w:bookmarkEnd w:id="31"/>
    <w:bookmarkStart w:name="z295" w:id="32"/>
    <w:p>
      <w:pPr>
        <w:spacing w:after="0"/>
        <w:ind w:left="0"/>
        <w:jc w:val="both"/>
      </w:pPr>
      <w:r>
        <w:rPr>
          <w:rFonts w:ascii="Times New Roman"/>
          <w:b w:val="false"/>
          <w:i w:val="false"/>
          <w:color w:val="000000"/>
          <w:sz w:val="28"/>
        </w:rPr>
        <w:t>
      "2) in organizations providing outpatient care:</w:t>
      </w:r>
    </w:p>
    <w:bookmarkEnd w:id="32"/>
    <w:bookmarkStart w:name="z296" w:id="33"/>
    <w:p>
      <w:pPr>
        <w:spacing w:after="0"/>
        <w:ind w:left="0"/>
        <w:jc w:val="both"/>
      </w:pPr>
      <w:r>
        <w:rPr>
          <w:rFonts w:ascii="Times New Roman"/>
          <w:b w:val="false"/>
          <w:i w:val="false"/>
          <w:color w:val="000000"/>
          <w:sz w:val="28"/>
        </w:rPr>
        <w:t>
      at least 10 % of examinations per month:</w:t>
      </w:r>
    </w:p>
    <w:bookmarkEnd w:id="33"/>
    <w:bookmarkStart w:name="z297" w:id="34"/>
    <w:p>
      <w:pPr>
        <w:spacing w:after="0"/>
        <w:ind w:left="0"/>
        <w:jc w:val="both"/>
      </w:pPr>
      <w:r>
        <w:rPr>
          <w:rFonts w:ascii="Times New Roman"/>
          <w:b w:val="false"/>
          <w:i w:val="false"/>
          <w:color w:val="000000"/>
          <w:sz w:val="28"/>
        </w:rPr>
        <w:t>
      treated cases, outpatient records of persons to be immunized against infectious diseases;</w:t>
      </w:r>
    </w:p>
    <w:bookmarkEnd w:id="34"/>
    <w:bookmarkStart w:name="z298" w:id="35"/>
    <w:p>
      <w:pPr>
        <w:spacing w:after="0"/>
        <w:ind w:left="0"/>
        <w:jc w:val="both"/>
      </w:pPr>
      <w:r>
        <w:rPr>
          <w:rFonts w:ascii="Times New Roman"/>
          <w:b w:val="false"/>
          <w:i w:val="false"/>
          <w:color w:val="000000"/>
          <w:sz w:val="28"/>
        </w:rPr>
        <w:t>
      and also all cases of:</w:t>
      </w:r>
    </w:p>
    <w:bookmarkEnd w:id="35"/>
    <w:bookmarkStart w:name="z299" w:id="36"/>
    <w:p>
      <w:pPr>
        <w:spacing w:after="0"/>
        <w:ind w:left="0"/>
        <w:jc w:val="both"/>
      </w:pPr>
      <w:r>
        <w:rPr>
          <w:rFonts w:ascii="Times New Roman"/>
          <w:b w:val="false"/>
          <w:i w:val="false"/>
          <w:color w:val="000000"/>
          <w:sz w:val="28"/>
        </w:rPr>
        <w:t>
      maternal mortality;</w:t>
      </w:r>
    </w:p>
    <w:bookmarkEnd w:id="36"/>
    <w:bookmarkStart w:name="z300" w:id="37"/>
    <w:p>
      <w:pPr>
        <w:spacing w:after="0"/>
        <w:ind w:left="0"/>
        <w:jc w:val="both"/>
      </w:pPr>
      <w:r>
        <w:rPr>
          <w:rFonts w:ascii="Times New Roman"/>
          <w:b w:val="false"/>
          <w:i w:val="false"/>
          <w:color w:val="000000"/>
          <w:sz w:val="28"/>
        </w:rPr>
        <w:t>
      deaths at home of children from 0 to 5 years of age inclusive;</w:t>
      </w:r>
    </w:p>
    <w:bookmarkEnd w:id="37"/>
    <w:bookmarkStart w:name="z301" w:id="38"/>
    <w:p>
      <w:pPr>
        <w:spacing w:after="0"/>
        <w:ind w:left="0"/>
        <w:jc w:val="both"/>
      </w:pPr>
      <w:r>
        <w:rPr>
          <w:rFonts w:ascii="Times New Roman"/>
          <w:b w:val="false"/>
          <w:i w:val="false"/>
          <w:color w:val="000000"/>
          <w:sz w:val="28"/>
        </w:rPr>
        <w:t>
      deaths at home of persons of working age from diseases;</w:t>
      </w:r>
    </w:p>
    <w:bookmarkEnd w:id="38"/>
    <w:bookmarkStart w:name="z302" w:id="39"/>
    <w:p>
      <w:pPr>
        <w:spacing w:after="0"/>
        <w:ind w:left="0"/>
        <w:jc w:val="both"/>
      </w:pPr>
      <w:r>
        <w:rPr>
          <w:rFonts w:ascii="Times New Roman"/>
          <w:b w:val="false"/>
          <w:i w:val="false"/>
          <w:color w:val="000000"/>
          <w:sz w:val="28"/>
        </w:rPr>
        <w:t>
      untimely vaccination or lack of vaccination against infectious diseases;</w:t>
      </w:r>
    </w:p>
    <w:bookmarkEnd w:id="39"/>
    <w:bookmarkStart w:name="z303" w:id="40"/>
    <w:p>
      <w:pPr>
        <w:spacing w:after="0"/>
        <w:ind w:left="0"/>
        <w:jc w:val="both"/>
      </w:pPr>
      <w:r>
        <w:rPr>
          <w:rFonts w:ascii="Times New Roman"/>
          <w:b w:val="false"/>
          <w:i w:val="false"/>
          <w:color w:val="000000"/>
          <w:sz w:val="28"/>
        </w:rPr>
        <w:t>
      neglected forms of cancer and tuberculosis;</w:t>
      </w:r>
    </w:p>
    <w:bookmarkEnd w:id="40"/>
    <w:bookmarkStart w:name="z304" w:id="41"/>
    <w:p>
      <w:pPr>
        <w:spacing w:after="0"/>
        <w:ind w:left="0"/>
        <w:jc w:val="both"/>
      </w:pPr>
      <w:r>
        <w:rPr>
          <w:rFonts w:ascii="Times New Roman"/>
          <w:b w:val="false"/>
          <w:i w:val="false"/>
          <w:color w:val="000000"/>
          <w:sz w:val="28"/>
        </w:rPr>
        <w:t>
      primary disability of persons of working age;</w:t>
      </w:r>
    </w:p>
    <w:bookmarkEnd w:id="41"/>
    <w:bookmarkStart w:name="z305" w:id="42"/>
    <w:p>
      <w:pPr>
        <w:spacing w:after="0"/>
        <w:ind w:left="0"/>
        <w:jc w:val="both"/>
      </w:pPr>
      <w:r>
        <w:rPr>
          <w:rFonts w:ascii="Times New Roman"/>
          <w:b w:val="false"/>
          <w:i w:val="false"/>
          <w:color w:val="000000"/>
          <w:sz w:val="28"/>
        </w:rPr>
        <w:t>
      pregnancy complications managed at the level of organizations providing primary health care;</w:t>
      </w:r>
    </w:p>
    <w:bookmarkEnd w:id="42"/>
    <w:bookmarkStart w:name="z306" w:id="43"/>
    <w:p>
      <w:pPr>
        <w:spacing w:after="0"/>
        <w:ind w:left="0"/>
        <w:jc w:val="both"/>
      </w:pPr>
      <w:r>
        <w:rPr>
          <w:rFonts w:ascii="Times New Roman"/>
          <w:b w:val="false"/>
          <w:i w:val="false"/>
          <w:color w:val="000000"/>
          <w:sz w:val="28"/>
        </w:rPr>
        <w:t>
      patient follow-up after discharge from hospital (children, women in the postpartum period), patients with circulatory diseases (after strokes and heart attacks).</w:t>
      </w:r>
    </w:p>
    <w:bookmarkEnd w:id="43"/>
    <w:bookmarkStart w:name="z307" w:id="44"/>
    <w:p>
      <w:pPr>
        <w:spacing w:after="0"/>
        <w:ind w:left="0"/>
        <w:jc w:val="both"/>
      </w:pPr>
      <w:r>
        <w:rPr>
          <w:rFonts w:ascii="Times New Roman"/>
          <w:b w:val="false"/>
          <w:i w:val="false"/>
          <w:color w:val="000000"/>
          <w:sz w:val="28"/>
        </w:rPr>
        <w:t>
      3) in ambulance organizations expert examination of the quality of medical services (assistance) of at least 10% of the calls served during the quarter, including all cases of:</w:t>
      </w:r>
    </w:p>
    <w:bookmarkEnd w:id="44"/>
    <w:bookmarkStart w:name="z308" w:id="45"/>
    <w:p>
      <w:pPr>
        <w:spacing w:after="0"/>
        <w:ind w:left="0"/>
        <w:jc w:val="both"/>
      </w:pPr>
      <w:r>
        <w:rPr>
          <w:rFonts w:ascii="Times New Roman"/>
          <w:b w:val="false"/>
          <w:i w:val="false"/>
          <w:color w:val="000000"/>
          <w:sz w:val="28"/>
        </w:rPr>
        <w:t>
      visits to the patient after denied admission to  hospital by the medical organization providing inpatient care;</w:t>
      </w:r>
    </w:p>
    <w:bookmarkEnd w:id="45"/>
    <w:bookmarkStart w:name="z309" w:id="46"/>
    <w:p>
      <w:pPr>
        <w:spacing w:after="0"/>
        <w:ind w:left="0"/>
        <w:jc w:val="both"/>
      </w:pPr>
      <w:r>
        <w:rPr>
          <w:rFonts w:ascii="Times New Roman"/>
          <w:b w:val="false"/>
          <w:i w:val="false"/>
          <w:color w:val="000000"/>
          <w:sz w:val="28"/>
        </w:rPr>
        <w:t>
      refusal from medical care with indication of possible consequences, recorded in medical documentation, including in electronic form, signed by the patient or his/her legal representative, as well as by a medical worker;</w:t>
      </w:r>
    </w:p>
    <w:bookmarkEnd w:id="46"/>
    <w:bookmarkStart w:name="z310" w:id="47"/>
    <w:p>
      <w:pPr>
        <w:spacing w:after="0"/>
        <w:ind w:left="0"/>
        <w:jc w:val="both"/>
      </w:pPr>
      <w:r>
        <w:rPr>
          <w:rFonts w:ascii="Times New Roman"/>
          <w:b w:val="false"/>
          <w:i w:val="false"/>
          <w:color w:val="000000"/>
          <w:sz w:val="28"/>
        </w:rPr>
        <w:t>
      refusal of the patient or his/her legal representative to sign a waiver of medical care, with a corresponding record of this in the medical records, including in electronic form, signed by a medical worker;</w:t>
      </w:r>
    </w:p>
    <w:bookmarkEnd w:id="47"/>
    <w:bookmarkStart w:name="z311" w:id="48"/>
    <w:p>
      <w:pPr>
        <w:spacing w:after="0"/>
        <w:ind w:left="0"/>
        <w:jc w:val="both"/>
      </w:pPr>
      <w:r>
        <w:rPr>
          <w:rFonts w:ascii="Times New Roman"/>
          <w:b w:val="false"/>
          <w:i w:val="false"/>
          <w:color w:val="000000"/>
          <w:sz w:val="28"/>
        </w:rPr>
        <w:t>
      repeated calls for the same disease within a day from the moment of the first call, except for cases of:</w:t>
      </w:r>
    </w:p>
    <w:bookmarkEnd w:id="48"/>
    <w:bookmarkStart w:name="z312" w:id="49"/>
    <w:p>
      <w:pPr>
        <w:spacing w:after="0"/>
        <w:ind w:left="0"/>
        <w:jc w:val="both"/>
      </w:pPr>
      <w:r>
        <w:rPr>
          <w:rFonts w:ascii="Times New Roman"/>
          <w:b w:val="false"/>
          <w:i w:val="false"/>
          <w:color w:val="000000"/>
          <w:sz w:val="28"/>
        </w:rPr>
        <w:t>
      lethality in calls: death before the arrival of the ambulance team, death in the presence of the team;</w:t>
      </w:r>
    </w:p>
    <w:bookmarkEnd w:id="49"/>
    <w:bookmarkStart w:name="z313" w:id="50"/>
    <w:p>
      <w:pPr>
        <w:spacing w:after="0"/>
        <w:ind w:left="0"/>
        <w:jc w:val="both"/>
      </w:pPr>
      <w:r>
        <w:rPr>
          <w:rFonts w:ascii="Times New Roman"/>
          <w:b w:val="false"/>
          <w:i w:val="false"/>
          <w:color w:val="000000"/>
          <w:sz w:val="28"/>
        </w:rPr>
        <w:t>
      4) in rehabilitation and medical rehabilitation organizations - all cases:</w:t>
      </w:r>
    </w:p>
    <w:bookmarkEnd w:id="50"/>
    <w:bookmarkStart w:name="z31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fatal outcomes;</w:t>
      </w:r>
    </w:p>
    <w:bookmarkEnd w:id="51"/>
    <w:p>
      <w:pPr>
        <w:spacing w:after="0"/>
        <w:ind w:left="0"/>
        <w:jc w:val="both"/>
      </w:pPr>
      <w:r>
        <w:rPr>
          <w:rFonts w:ascii="Times New Roman"/>
          <w:b w:val="false"/>
          <w:i w:val="false"/>
          <w:color w:val="000000"/>
          <w:sz w:val="28"/>
        </w:rPr>
        <w:t>
      transfer to hospital organizations;</w:t>
      </w:r>
    </w:p>
    <w:p>
      <w:pPr>
        <w:spacing w:after="0"/>
        <w:ind w:left="0"/>
        <w:jc w:val="both"/>
      </w:pPr>
      <w:r>
        <w:rPr>
          <w:rFonts w:ascii="Times New Roman"/>
          <w:b w:val="false"/>
          <w:i w:val="false"/>
          <w:color w:val="000000"/>
          <w:sz w:val="28"/>
        </w:rPr>
        <w:t>
      increase or decrease in the duration of treatment;</w:t>
      </w:r>
    </w:p>
    <w:p>
      <w:pPr>
        <w:spacing w:after="0"/>
        <w:ind w:left="0"/>
        <w:jc w:val="both"/>
      </w:pPr>
      <w:r>
        <w:rPr>
          <w:rFonts w:ascii="Times New Roman"/>
          <w:b w:val="false"/>
          <w:i w:val="false"/>
          <w:color w:val="000000"/>
          <w:sz w:val="28"/>
        </w:rPr>
        <w:t>
      hospital traumatism;</w:t>
      </w:r>
    </w:p>
    <w:p>
      <w:pPr>
        <w:spacing w:after="0"/>
        <w:ind w:left="0"/>
        <w:jc w:val="both"/>
      </w:pPr>
      <w:r>
        <w:rPr>
          <w:rFonts w:ascii="Times New Roman"/>
          <w:b w:val="false"/>
          <w:i w:val="false"/>
          <w:color w:val="000000"/>
          <w:sz w:val="28"/>
        </w:rPr>
        <w:t>
      hospital-acquired infections.</w:t>
      </w:r>
    </w:p>
    <w:p>
      <w:pPr>
        <w:spacing w:after="0"/>
        <w:ind w:left="0"/>
        <w:jc w:val="both"/>
      </w:pPr>
      <w:r>
        <w:rPr>
          <w:rFonts w:ascii="Times New Roman"/>
          <w:b w:val="false"/>
          <w:i w:val="false"/>
          <w:color w:val="000000"/>
          <w:sz w:val="28"/>
        </w:rPr>
        <w:t>
      fatalities;</w:t>
      </w:r>
    </w:p>
    <w:p>
      <w:pPr>
        <w:spacing w:after="0"/>
        <w:ind w:left="0"/>
        <w:jc w:val="both"/>
      </w:pPr>
      <w:r>
        <w:rPr>
          <w:rFonts w:ascii="Times New Roman"/>
          <w:b w:val="false"/>
          <w:i w:val="false"/>
          <w:color w:val="000000"/>
          <w:sz w:val="28"/>
        </w:rPr>
        <w:t>
      hospital-acquired infections;</w:t>
      </w:r>
    </w:p>
    <w:p>
      <w:pPr>
        <w:spacing w:after="0"/>
        <w:ind w:left="0"/>
        <w:jc w:val="both"/>
      </w:pPr>
      <w:r>
        <w:rPr>
          <w:rFonts w:ascii="Times New Roman"/>
          <w:b w:val="false"/>
          <w:i w:val="false"/>
          <w:color w:val="000000"/>
          <w:sz w:val="28"/>
        </w:rPr>
        <w:t>
      hospital traumatism;</w:t>
      </w:r>
    </w:p>
    <w:bookmarkStart w:name="z323" w:id="52"/>
    <w:p>
      <w:pPr>
        <w:spacing w:after="0"/>
        <w:ind w:left="0"/>
        <w:jc w:val="both"/>
      </w:pPr>
      <w:r>
        <w:rPr>
          <w:rFonts w:ascii="Times New Roman"/>
          <w:b w:val="false"/>
          <w:i w:val="false"/>
          <w:color w:val="000000"/>
          <w:sz w:val="28"/>
        </w:rPr>
        <w:t>
      6) in the blood banking organizations, an expert examination shall be carried out of the quality of medical services (assistance) of at least 20% of medical records of donors per quarter, as well as control over compliance with the order of the Minister of Health of the Republic of Kazakhstan dated October 20, 2020 № ҚР ДСМ- 140/2020 “On approval of the nomenclature, rules of procurement, processing, quality control, storage, banking, use of blood, its components, as well as the rules of transfusion of blood, its components” (registered in the Register of State Registration of Regulatory Legal Acts).</w:t>
      </w:r>
    </w:p>
    <w:bookmarkEnd w:id="52"/>
    <w:bookmarkStart w:name="z324" w:id="53"/>
    <w:p>
      <w:pPr>
        <w:spacing w:after="0"/>
        <w:ind w:left="0"/>
        <w:jc w:val="both"/>
      </w:pPr>
      <w:r>
        <w:rPr>
          <w:rFonts w:ascii="Times New Roman"/>
          <w:b w:val="false"/>
          <w:i w:val="false"/>
          <w:color w:val="000000"/>
          <w:sz w:val="28"/>
        </w:rPr>
        <w:t>
      11. The Service shall carry out ongoing work based on external expert opinions regarding the implementation of recommendations on the availability and timeliness of medical care, compliance with standards for the provision of medical care, and rules for the provision of medical care.</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325" w:id="54"/>
    <w:p>
      <w:pPr>
        <w:spacing w:after="0"/>
        <w:ind w:left="0"/>
        <w:jc w:val="both"/>
      </w:pPr>
      <w:r>
        <w:rPr>
          <w:rFonts w:ascii="Times New Roman"/>
          <w:b w:val="false"/>
          <w:i w:val="false"/>
          <w:color w:val="000000"/>
          <w:sz w:val="28"/>
        </w:rPr>
        <w:t>
      12. The Service shall continuously monitor the correctness of patient data entry into medical information systems in accordance with classifiers and directories, according to the data sets of primary medical documentation of health care organizations, corresponding to the profile of the medical organization.</w:t>
      </w:r>
    </w:p>
    <w:bookmarkEnd w:id="54"/>
    <w:bookmarkStart w:name="z326" w:id="55"/>
    <w:p>
      <w:pPr>
        <w:spacing w:after="0"/>
        <w:ind w:left="0"/>
        <w:jc w:val="both"/>
      </w:pPr>
      <w:r>
        <w:rPr>
          <w:rFonts w:ascii="Times New Roman"/>
          <w:b w:val="false"/>
          <w:i w:val="false"/>
          <w:color w:val="000000"/>
          <w:sz w:val="28"/>
        </w:rPr>
        <w:t>
      13. The Service shall carry out the registration and ongoing analysis of the facts of the occurrence of medical incidents and insurance cases, the results of which shall be entered into a single register of the facts of the occurrence of medical incidents and insurance cases in accordance with paragraph 1 of Article 270-3 of the Code.</w:t>
      </w:r>
    </w:p>
    <w:bookmarkEnd w:id="55"/>
    <w:p>
      <w:pPr>
        <w:spacing w:after="0"/>
        <w:ind w:left="0"/>
        <w:jc w:val="both"/>
      </w:pPr>
      <w:r>
        <w:rPr>
          <w:rFonts w:ascii="Times New Roman"/>
          <w:b w:val="false"/>
          <w:i w:val="false"/>
          <w:color w:val="000000"/>
          <w:sz w:val="28"/>
        </w:rPr>
        <w:t>
      The Service shall keep records of medical incidents and send a certificate (summary information) on each case (event) of a medical incident in accordance with the order of the Minister of Healthcare of the Republic of Kazakhstan dated October 22, 2020, № ҚР ДСМ-147/2020 "On approval of the Rules for determining cases (events) of a medical incident, their recording and analysis" (registered in the State Register of Normative Legal Acts under № 21511) (hereinafter referred to as Order № ҚР ДСМ-147/2020).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Healthcare of the Republic of Kazakhstan dated 24.06.2024 № 29 (shall come into effect on 23.10.2024).</w:t>
      </w:r>
      <w:r>
        <w:br/>
      </w:r>
      <w:r>
        <w:rPr>
          <w:rFonts w:ascii="Times New Roman"/>
          <w:b w:val="false"/>
          <w:i w:val="false"/>
          <w:color w:val="000000"/>
          <w:sz w:val="28"/>
        </w:rPr>
        <w:t>
</w:t>
      </w:r>
    </w:p>
    <w:bookmarkStart w:name="z327" w:id="56"/>
    <w:p>
      <w:pPr>
        <w:spacing w:after="0"/>
        <w:ind w:left="0"/>
        <w:jc w:val="both"/>
      </w:pPr>
      <w:r>
        <w:rPr>
          <w:rFonts w:ascii="Times New Roman"/>
          <w:b w:val="false"/>
          <w:i w:val="false"/>
          <w:color w:val="000000"/>
          <w:sz w:val="28"/>
        </w:rPr>
        <w:t>
      14. The service  shall also conduct monthly examination of at least 10% of treated cases for the quality of filling out medical records by the medical staff.</w:t>
      </w:r>
    </w:p>
    <w:bookmarkEnd w:id="56"/>
    <w:bookmarkStart w:name="z328" w:id="57"/>
    <w:p>
      <w:pPr>
        <w:spacing w:after="0"/>
        <w:ind w:left="0"/>
        <w:jc w:val="both"/>
      </w:pPr>
      <w:r>
        <w:rPr>
          <w:rFonts w:ascii="Times New Roman"/>
          <w:b w:val="false"/>
          <w:i w:val="false"/>
          <w:color w:val="000000"/>
          <w:sz w:val="28"/>
        </w:rPr>
        <w:t>
      15. In cases of detected  irregularities in medical care, treatment and diagnostic measures, such as unjustified deviation from the Standards (hereinafter - defects), the Service shall identify and analyze the root causes of their occurrence, develop recommendations to prevent defects and errors.</w:t>
      </w:r>
    </w:p>
    <w:bookmarkEnd w:id="57"/>
    <w:bookmarkStart w:name="z329" w:id="58"/>
    <w:p>
      <w:pPr>
        <w:spacing w:after="0"/>
        <w:ind w:left="0"/>
        <w:jc w:val="both"/>
      </w:pPr>
      <w:r>
        <w:rPr>
          <w:rFonts w:ascii="Times New Roman"/>
          <w:b w:val="false"/>
          <w:i w:val="false"/>
          <w:color w:val="000000"/>
          <w:sz w:val="28"/>
        </w:rPr>
        <w:t>
      Cases of committed defects, including repeated and (or) recurring violations requiring managerial decisions (referral for additional training, advanced training courses for medical workers, procurement  of medicines, medical devices, medical equipment) shall be submitted to the management for consideration.</w:t>
      </w:r>
    </w:p>
    <w:bookmarkEnd w:id="58"/>
    <w:p>
      <w:pPr>
        <w:spacing w:after="0"/>
        <w:ind w:left="0"/>
        <w:jc w:val="both"/>
      </w:pPr>
      <w:r>
        <w:rPr>
          <w:rFonts w:ascii="Times New Roman"/>
          <w:b w:val="false"/>
          <w:i w:val="false"/>
          <w:color w:val="000000"/>
          <w:sz w:val="28"/>
        </w:rPr>
        <w:t>
      16. The Service shall study:</w:t>
      </w:r>
    </w:p>
    <w:bookmarkStart w:name="z331" w:id="59"/>
    <w:p>
      <w:pPr>
        <w:spacing w:after="0"/>
        <w:ind w:left="0"/>
        <w:jc w:val="both"/>
      </w:pPr>
      <w:r>
        <w:rPr>
          <w:rFonts w:ascii="Times New Roman"/>
          <w:b w:val="false"/>
          <w:i w:val="false"/>
          <w:color w:val="000000"/>
          <w:sz w:val="28"/>
        </w:rPr>
        <w:t>
      1) internal indicators approved in this medical organization in accordance with the standards for the provision of medical care, the rules for the provision of medical care, including the indicators set out in Appendix 1 to these Rules (in accordance with the possibility of application to this specific profile);</w:t>
      </w:r>
    </w:p>
    <w:bookmarkEnd w:id="59"/>
    <w:bookmarkStart w:name="z332" w:id="60"/>
    <w:p>
      <w:pPr>
        <w:spacing w:after="0"/>
        <w:ind w:left="0"/>
        <w:jc w:val="both"/>
      </w:pPr>
      <w:r>
        <w:rPr>
          <w:rFonts w:ascii="Times New Roman"/>
          <w:b w:val="false"/>
          <w:i w:val="false"/>
          <w:color w:val="000000"/>
          <w:sz w:val="28"/>
        </w:rPr>
        <w:t>
      2) corrective action plans and their implementation based on the results of the past examinations;</w:t>
      </w:r>
    </w:p>
    <w:bookmarkEnd w:id="60"/>
    <w:p>
      <w:pPr>
        <w:spacing w:after="0"/>
        <w:ind w:left="0"/>
        <w:jc w:val="both"/>
      </w:pPr>
      <w:r>
        <w:rPr>
          <w:rFonts w:ascii="Times New Roman"/>
          <w:b w:val="false"/>
          <w:i w:val="false"/>
          <w:color w:val="000000"/>
          <w:sz w:val="28"/>
        </w:rPr>
        <w:t>
      3) conclusions of clinical auditors;</w:t>
      </w:r>
    </w:p>
    <w:bookmarkStart w:name="z334" w:id="61"/>
    <w:p>
      <w:pPr>
        <w:spacing w:after="0"/>
        <w:ind w:left="0"/>
        <w:jc w:val="both"/>
      </w:pPr>
      <w:r>
        <w:rPr>
          <w:rFonts w:ascii="Times New Roman"/>
          <w:b w:val="false"/>
          <w:i w:val="false"/>
          <w:color w:val="000000"/>
          <w:sz w:val="28"/>
        </w:rPr>
        <w:t>
      4) results of questionnaires and interviews with patients, results of work on complaints;</w:t>
      </w:r>
    </w:p>
    <w:bookmarkEnd w:id="61"/>
    <w:p>
      <w:pPr>
        <w:spacing w:after="0"/>
        <w:ind w:left="0"/>
        <w:jc w:val="both"/>
      </w:pPr>
      <w:r>
        <w:rPr>
          <w:rFonts w:ascii="Times New Roman"/>
          <w:b w:val="false"/>
          <w:i w:val="false"/>
          <w:color w:val="000000"/>
          <w:sz w:val="28"/>
        </w:rPr>
        <w:t>
      5) results of analysis of medical incidents in accordance with Order № KP DSM - 147/2020.</w:t>
      </w:r>
    </w:p>
    <w:p>
      <w:pPr>
        <w:spacing w:after="0"/>
        <w:ind w:left="0"/>
        <w:jc w:val="both"/>
      </w:pPr>
      <w:r>
        <w:rPr>
          <w:rFonts w:ascii="Times New Roman"/>
          <w:b w:val="false"/>
          <w:i w:val="false"/>
          <w:color w:val="000000"/>
          <w:sz w:val="28"/>
        </w:rPr>
        <w:t>
      Based on the results of the analysis, the activity of structural units and the medical organization as a whole is evaluated.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337" w:id="62"/>
    <w:p>
      <w:pPr>
        <w:spacing w:after="0"/>
        <w:ind w:left="0"/>
        <w:jc w:val="both"/>
      </w:pPr>
      <w:r>
        <w:rPr>
          <w:rFonts w:ascii="Times New Roman"/>
          <w:b w:val="false"/>
          <w:i w:val="false"/>
          <w:color w:val="000000"/>
          <w:sz w:val="28"/>
        </w:rPr>
        <w:t>
      17. The Service shall determine the degree of patient satisfaction with the level and quality of medical services (care) and identify the needs of the population and patients by:</w:t>
      </w:r>
    </w:p>
    <w:bookmarkEnd w:id="62"/>
    <w:bookmarkStart w:name="z338" w:id="63"/>
    <w:p>
      <w:pPr>
        <w:spacing w:after="0"/>
        <w:ind w:left="0"/>
        <w:jc w:val="both"/>
      </w:pPr>
      <w:r>
        <w:rPr>
          <w:rFonts w:ascii="Times New Roman"/>
          <w:b w:val="false"/>
          <w:i w:val="false"/>
          <w:color w:val="000000"/>
          <w:sz w:val="28"/>
        </w:rPr>
        <w:t>
      1) application of the tool of public dialogue of openness in order to promptly respond to the needs of the population and patients by medical organizations and state bodies, focus group interviewing of the population, patients and specialists of health care organizations and questionnaires of patients and (or) their relatives, medical and non-medical staff of the health care organization;</w:t>
      </w:r>
    </w:p>
    <w:bookmarkEnd w:id="63"/>
    <w:bookmarkStart w:name="z339" w:id="64"/>
    <w:p>
      <w:pPr>
        <w:spacing w:after="0"/>
        <w:ind w:left="0"/>
        <w:jc w:val="both"/>
      </w:pPr>
      <w:r>
        <w:rPr>
          <w:rFonts w:ascii="Times New Roman"/>
          <w:b w:val="false"/>
          <w:i w:val="false"/>
          <w:color w:val="000000"/>
          <w:sz w:val="28"/>
        </w:rPr>
        <w:t>
      2) analysis of justified appeals on the quality of rendered medical services (care);</w:t>
      </w:r>
    </w:p>
    <w:bookmarkEnd w:id="64"/>
    <w:p>
      <w:pPr>
        <w:spacing w:after="0"/>
        <w:ind w:left="0"/>
        <w:jc w:val="both"/>
      </w:pPr>
      <w:r>
        <w:rPr>
          <w:rFonts w:ascii="Times New Roman"/>
          <w:b w:val="false"/>
          <w:i w:val="false"/>
          <w:color w:val="000000"/>
          <w:sz w:val="28"/>
        </w:rPr>
        <w:t>
      3) analysis of population surveys in health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develop proposals and recommendations on topical issues of health and health care services of the attached population, as well as to monitor the follow-up of recommendations, a permanent commission of public trust in health care (hereinafter referred to as the Commission of Public Trust in Health Care) shall be established at the medical organization, with involvement of representatives of the attached population, private business entities and non-governmental organizations, employees of local public health authorities of the region, cities of republican status and the capital.</w:t>
      </w:r>
    </w:p>
    <w:bookmarkStart w:name="z344" w:id="65"/>
    <w:p>
      <w:pPr>
        <w:spacing w:after="0"/>
        <w:ind w:left="0"/>
        <w:jc w:val="both"/>
      </w:pPr>
      <w:r>
        <w:rPr>
          <w:rFonts w:ascii="Times New Roman"/>
          <w:b w:val="false"/>
          <w:i w:val="false"/>
          <w:color w:val="000000"/>
          <w:sz w:val="28"/>
        </w:rPr>
        <w:t xml:space="preserve">
      Basing on the performance results, the commission shall send quarterly information to the local public health authorities of oblasts, cities of republican status and the capital. </w:t>
      </w:r>
    </w:p>
    <w:bookmarkEnd w:id="65"/>
    <w:p>
      <w:pPr>
        <w:spacing w:after="0"/>
        <w:ind w:left="0"/>
        <w:jc w:val="both"/>
      </w:pPr>
      <w:r>
        <w:rPr>
          <w:rFonts w:ascii="Times New Roman"/>
          <w:b w:val="false"/>
          <w:i w:val="false"/>
          <w:color w:val="000000"/>
          <w:sz w:val="28"/>
        </w:rPr>
        <w:t xml:space="preserve">
      19. The Service shall consider applications of patients regarding the provided medical care with the establishment of a commission. In this case, the application is considered within a period not exceeding fifteen working days, the complaint within a period not exceeding twenty working days. </w:t>
      </w:r>
    </w:p>
    <w:p>
      <w:pPr>
        <w:spacing w:after="0"/>
        <w:ind w:left="0"/>
        <w:jc w:val="both"/>
      </w:pPr>
      <w:r>
        <w:rPr>
          <w:rFonts w:ascii="Times New Roman"/>
          <w:b w:val="false"/>
          <w:i w:val="false"/>
          <w:color w:val="000000"/>
          <w:sz w:val="28"/>
        </w:rPr>
        <w:t>
      19-1. When considering an application, the Service shall conduct an internal examination of the quality of the medical care provided for compliance with the standards for the organization of the provision of medical care in the profile, the rules for the provision of medical care with the involvement of independent experts or specialized specialists (if necessary).</w:t>
      </w:r>
    </w:p>
    <w:p>
      <w:pPr>
        <w:spacing w:after="0"/>
        <w:ind w:left="0"/>
        <w:jc w:val="both"/>
      </w:pPr>
      <w:r>
        <w:rPr>
          <w:rFonts w:ascii="Times New Roman"/>
          <w:b w:val="false"/>
          <w:i w:val="false"/>
          <w:color w:val="000000"/>
          <w:sz w:val="28"/>
        </w:rPr>
        <w:t>
      The Service shall conduct an internal examination by analyzing medical services (assistance) taking into account:</w:t>
      </w:r>
    </w:p>
    <w:p>
      <w:pPr>
        <w:spacing w:after="0"/>
        <w:ind w:left="0"/>
        <w:jc w:val="both"/>
      </w:pPr>
      <w:r>
        <w:rPr>
          <w:rFonts w:ascii="Times New Roman"/>
          <w:b w:val="false"/>
          <w:i w:val="false"/>
          <w:color w:val="000000"/>
          <w:sz w:val="28"/>
        </w:rPr>
        <w:t>
      1) diagnostic procedures: analysis of the timeliness and unexpected deviations in the diagnostic measures carried out to identify diseases or conditions that could have led to this event;</w:t>
      </w:r>
    </w:p>
    <w:p>
      <w:pPr>
        <w:spacing w:after="0"/>
        <w:ind w:left="0"/>
        <w:jc w:val="both"/>
      </w:pPr>
      <w:r>
        <w:rPr>
          <w:rFonts w:ascii="Times New Roman"/>
          <w:b w:val="false"/>
          <w:i w:val="false"/>
          <w:color w:val="000000"/>
          <w:sz w:val="28"/>
        </w:rPr>
        <w:t>
      2) therapeutic measures: analysis of the compliance of therapeutic actions (medicinal, surgical, invasive) with the adequacy of their selection and implementation, as well as patient management tactics;</w:t>
      </w:r>
    </w:p>
    <w:p>
      <w:pPr>
        <w:spacing w:after="0"/>
        <w:ind w:left="0"/>
        <w:jc w:val="both"/>
      </w:pPr>
      <w:r>
        <w:rPr>
          <w:rFonts w:ascii="Times New Roman"/>
          <w:b w:val="false"/>
          <w:i w:val="false"/>
          <w:color w:val="000000"/>
          <w:sz w:val="28"/>
        </w:rPr>
        <w:t>
      3) preventive measures: evaluation of the preventive actions taken to prevent possible complications or recurrence;</w:t>
      </w:r>
    </w:p>
    <w:p>
      <w:pPr>
        <w:spacing w:after="0"/>
        <w:ind w:left="0"/>
        <w:jc w:val="both"/>
      </w:pPr>
      <w:r>
        <w:rPr>
          <w:rFonts w:ascii="Times New Roman"/>
          <w:b w:val="false"/>
          <w:i w:val="false"/>
          <w:color w:val="000000"/>
          <w:sz w:val="28"/>
        </w:rPr>
        <w:t>
      4) rehabilitation measures: analysis of the effectiveness and adequacy of the rehabilitation measures taken to restore functional capabilities and improve the patient’s quality of life after the event.</w:t>
      </w:r>
    </w:p>
    <w:p>
      <w:pPr>
        <w:spacing w:after="0"/>
        <w:ind w:left="0"/>
        <w:jc w:val="both"/>
      </w:pPr>
      <w:r>
        <w:rPr>
          <w:rFonts w:ascii="Times New Roman"/>
          <w:b w:val="false"/>
          <w:i w:val="false"/>
          <w:color w:val="000000"/>
          <w:sz w:val="28"/>
        </w:rPr>
        <w:t>
      The Service, upon detection of violations of standards for the organization of medical care provision in the profile by a medical worker when providing medical care, which resulted in an unfavourable outcome of treatment (death and (or) disability and (or) deterioration and (or) no change) for the health and life of the patient, the presence of grounds and supporting evidence of harm to the life and health of the patient, the establishment of signs of an insured event, provides the head of the subject with recommendations with justification for sending this appeal to a meeting of the Independent Expert Commission with all materials (medical documentation, photo, video materials, contract, receipts and other materials related to the appeal), including from information systems.</w:t>
      </w:r>
    </w:p>
    <w:p>
      <w:pPr>
        <w:spacing w:after="0"/>
        <w:ind w:left="0"/>
        <w:jc w:val="both"/>
      </w:pPr>
      <w:r>
        <w:rPr>
          <w:rFonts w:ascii="Times New Roman"/>
          <w:b w:val="false"/>
          <w:i w:val="false"/>
          <w:color w:val="000000"/>
          <w:sz w:val="28"/>
        </w:rPr>
        <w:t>
      The period for reviewing an application and providing a recommendation to forward this application to a meeting of the Independent Expert Commission to the head of the healthcare entity shall not exceed twenty working days.</w:t>
      </w:r>
    </w:p>
    <w:p>
      <w:pPr>
        <w:spacing w:after="0"/>
        <w:ind w:left="0"/>
        <w:jc w:val="both"/>
      </w:pPr>
      <w:r>
        <w:rPr>
          <w:rFonts w:ascii="Times New Roman"/>
          <w:b w:val="false"/>
          <w:i w:val="false"/>
          <w:color w:val="000000"/>
          <w:sz w:val="28"/>
        </w:rPr>
        <w:t>
      The Service, in the absence of violations of the standards for the organization of the provision of medical care in the profile by the medical worker when providing medical care, shall register this case as a medical incident in the unified register of medical incidents and insurance cases, in accordance with paragraph 1 of Article 270-3 of the Code. After approval by the head of the healthcare entity, the Service, within 3 (three) working days, sends information on cases (events) of a medical incident to the organization determined by the authorized body in the field of healthcare, in accordance with paragraph 1 of Article 270-3 of the Code.</w:t>
      </w:r>
    </w:p>
    <w:p>
      <w:pPr>
        <w:spacing w:after="0"/>
        <w:ind w:left="0"/>
        <w:jc w:val="both"/>
      </w:pPr>
      <w:r>
        <w:rPr>
          <w:rFonts w:ascii="Times New Roman"/>
          <w:b w:val="false"/>
          <w:i w:val="false"/>
          <w:color w:val="000000"/>
          <w:sz w:val="28"/>
        </w:rPr>
        <w:t>
      If a healthcare entity does not have a Service, the application shall be considered by the first head of the healthcare entity with the involvement of independent experts or specialized specialists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19-1 in accordance with the order of the Minister of Healthcare of the Republic of Kazakhstan dated 24.06.2024 № 29 (shall come into effect on 23.10.2024).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Internal examination of the quality of medical services (care) is also carried out by means of self-control at the level of:</w:t>
      </w:r>
    </w:p>
    <w:p>
      <w:pPr>
        <w:spacing w:after="0"/>
        <w:ind w:left="0"/>
        <w:jc w:val="both"/>
      </w:pPr>
      <w:r>
        <w:rPr>
          <w:rFonts w:ascii="Times New Roman"/>
          <w:b w:val="false"/>
          <w:i w:val="false"/>
          <w:color w:val="000000"/>
          <w:sz w:val="28"/>
        </w:rPr>
        <w:t>
      every medical worker;</w:t>
      </w:r>
    </w:p>
    <w:p>
      <w:pPr>
        <w:spacing w:after="0"/>
        <w:ind w:left="0"/>
        <w:jc w:val="both"/>
      </w:pPr>
      <w:r>
        <w:rPr>
          <w:rFonts w:ascii="Times New Roman"/>
          <w:b w:val="false"/>
          <w:i w:val="false"/>
          <w:color w:val="000000"/>
          <w:sz w:val="28"/>
        </w:rPr>
        <w:t>
      structural unit.</w:t>
      </w:r>
    </w:p>
    <w:bookmarkStart w:name="z346" w:id="66"/>
    <w:p>
      <w:pPr>
        <w:spacing w:after="0"/>
        <w:ind w:left="0"/>
        <w:jc w:val="both"/>
      </w:pPr>
      <w:r>
        <w:rPr>
          <w:rFonts w:ascii="Times New Roman"/>
          <w:b w:val="false"/>
          <w:i w:val="false"/>
          <w:color w:val="000000"/>
          <w:sz w:val="28"/>
        </w:rPr>
        <w:t>
      21. Examination at the level of a medical worker shall be carried out by a doctor and each nurse of the department for all cases treated.</w:t>
      </w:r>
    </w:p>
    <w:bookmarkEnd w:id="66"/>
    <w:p>
      <w:pPr>
        <w:spacing w:after="0"/>
        <w:ind w:left="0"/>
        <w:jc w:val="both"/>
      </w:pPr>
      <w:r>
        <w:rPr>
          <w:rFonts w:ascii="Times New Roman"/>
          <w:b w:val="false"/>
          <w:i w:val="false"/>
          <w:color w:val="000000"/>
          <w:sz w:val="28"/>
        </w:rPr>
        <w:t>
      22. Examination at the level of a structural unit shall be carried out by its head as part of its current activities.</w:t>
      </w:r>
    </w:p>
    <w:p>
      <w:pPr>
        <w:spacing w:after="0"/>
        <w:ind w:left="0"/>
        <w:jc w:val="both"/>
      </w:pPr>
      <w:r>
        <w:rPr>
          <w:rFonts w:ascii="Times New Roman"/>
          <w:b w:val="false"/>
          <w:i w:val="false"/>
          <w:color w:val="000000"/>
          <w:sz w:val="28"/>
        </w:rPr>
        <w:t>
      23. Examination of the work of paramedical workers at the level of a structural unit shall be carried out by a senior nurse. Examination of the quality of work of paramedical workers of structural units shall be determined by the completeness and timeliness of filling out medical documentation, as well as by the completeness, timeliness and quality of fulfillment of medical prescriptions.</w:t>
      </w:r>
    </w:p>
    <w:bookmarkStart w:name="z349" w:id="67"/>
    <w:p>
      <w:pPr>
        <w:spacing w:after="0"/>
        <w:ind w:left="0"/>
        <w:jc w:val="both"/>
      </w:pPr>
      <w:r>
        <w:rPr>
          <w:rFonts w:ascii="Times New Roman"/>
          <w:b w:val="false"/>
          <w:i w:val="false"/>
          <w:color w:val="000000"/>
          <w:sz w:val="28"/>
        </w:rPr>
        <w:t>
      24. The Service shall draw up a conclusion based on the results of the internal examination, which shall include:</w:t>
      </w:r>
    </w:p>
    <w:bookmarkEnd w:id="67"/>
    <w:p>
      <w:pPr>
        <w:spacing w:after="0"/>
        <w:ind w:left="0"/>
        <w:jc w:val="both"/>
      </w:pPr>
      <w:r>
        <w:rPr>
          <w:rFonts w:ascii="Times New Roman"/>
          <w:b w:val="false"/>
          <w:i w:val="false"/>
          <w:color w:val="000000"/>
          <w:sz w:val="28"/>
        </w:rPr>
        <w:t>
      1) the total number of identified defects, their structure, possible causes and ways of elimination;</w:t>
      </w:r>
    </w:p>
    <w:p>
      <w:pPr>
        <w:spacing w:after="0"/>
        <w:ind w:left="0"/>
        <w:jc w:val="both"/>
      </w:pPr>
      <w:r>
        <w:rPr>
          <w:rFonts w:ascii="Times New Roman"/>
          <w:b w:val="false"/>
          <w:i w:val="false"/>
          <w:color w:val="000000"/>
          <w:sz w:val="28"/>
        </w:rPr>
        <w:t>
      2) the number of identified defects that caused deterioration of health condition;</w:t>
      </w:r>
    </w:p>
    <w:p>
      <w:pPr>
        <w:spacing w:after="0"/>
        <w:ind w:left="0"/>
        <w:jc w:val="both"/>
      </w:pPr>
      <w:r>
        <w:rPr>
          <w:rFonts w:ascii="Times New Roman"/>
          <w:b w:val="false"/>
          <w:i w:val="false"/>
          <w:color w:val="000000"/>
          <w:sz w:val="28"/>
        </w:rPr>
        <w:t>
      3) the number of identified defects that resulted in increased costs of medical care.</w:t>
      </w:r>
    </w:p>
    <w:bookmarkStart w:name="z353" w:id="68"/>
    <w:p>
      <w:pPr>
        <w:spacing w:after="0"/>
        <w:ind w:left="0"/>
        <w:jc w:val="both"/>
      </w:pPr>
      <w:r>
        <w:rPr>
          <w:rFonts w:ascii="Times New Roman"/>
          <w:b w:val="false"/>
          <w:i w:val="false"/>
          <w:color w:val="000000"/>
          <w:sz w:val="28"/>
        </w:rPr>
        <w:t>
      25. The results of internal examination, including their comparison with the results of external examination, shall be presented and discussed at the meetings of the internal examination unit once a month, intra-hospital commissions, at medical conferences with subsequent adoption of organizational decisions, in order to improve proficiency level of medical workers and to develop optimal approaches to the treatment and diagnostic process, which shall be documented in minutes.</w:t>
      </w:r>
    </w:p>
    <w:bookmarkEnd w:id="68"/>
    <w:bookmarkStart w:name="z354" w:id="69"/>
    <w:p>
      <w:pPr>
        <w:spacing w:after="0"/>
        <w:ind w:left="0"/>
        <w:jc w:val="both"/>
      </w:pPr>
      <w:r>
        <w:rPr>
          <w:rFonts w:ascii="Times New Roman"/>
          <w:b w:val="false"/>
          <w:i w:val="false"/>
          <w:color w:val="000000"/>
          <w:sz w:val="28"/>
        </w:rPr>
        <w:t>
      Heads of structural subdivisions (specialized departments), physicians with at least 3 years of continuous work experience in their specialization shall be included in the in-hospital commissions.</w:t>
      </w:r>
    </w:p>
    <w:bookmarkEnd w:id="69"/>
    <w:bookmarkStart w:name="z355" w:id="70"/>
    <w:p>
      <w:pPr>
        <w:spacing w:after="0"/>
        <w:ind w:left="0"/>
        <w:jc w:val="both"/>
      </w:pPr>
      <w:r>
        <w:rPr>
          <w:rFonts w:ascii="Times New Roman"/>
          <w:b w:val="false"/>
          <w:i w:val="false"/>
          <w:color w:val="000000"/>
          <w:sz w:val="28"/>
        </w:rPr>
        <w:t>
      Upon the internal examination results, the Service shall submit monthly proposals to the head of the medical organization to eliminate the identified causes and conditions of deterioration in the quality of medical services (care).</w:t>
      </w:r>
    </w:p>
    <w:bookmarkEnd w:id="70"/>
    <w:p>
      <w:pPr>
        <w:spacing w:after="0"/>
        <w:ind w:left="0"/>
        <w:jc w:val="left"/>
      </w:pPr>
      <w:r>
        <w:rPr>
          <w:rFonts w:ascii="Times New Roman"/>
          <w:b/>
          <w:i w:val="false"/>
          <w:color w:val="000000"/>
        </w:rPr>
        <w:t xml:space="preserve"> Chapter 3. Procedure for organizing and conducting external </w:t>
      </w:r>
      <w:r>
        <w:br/>
      </w:r>
      <w:r>
        <w:rPr>
          <w:rFonts w:ascii="Times New Roman"/>
          <w:b/>
          <w:i w:val="false"/>
          <w:color w:val="000000"/>
        </w:rPr>
        <w:t>examination of the quality of medical services (care)</w:t>
      </w:r>
    </w:p>
    <w:bookmarkStart w:name="z357" w:id="71"/>
    <w:p>
      <w:pPr>
        <w:spacing w:after="0"/>
        <w:ind w:left="0"/>
        <w:jc w:val="both"/>
      </w:pPr>
      <w:r>
        <w:rPr>
          <w:rFonts w:ascii="Times New Roman"/>
          <w:b w:val="false"/>
          <w:i w:val="false"/>
          <w:color w:val="000000"/>
          <w:sz w:val="28"/>
        </w:rPr>
        <w:t>
      26. External examination of the quality of medical services (care) shall be carried out by:</w:t>
      </w:r>
    </w:p>
    <w:bookmarkEnd w:id="71"/>
    <w:bookmarkStart w:name="z358" w:id="72"/>
    <w:p>
      <w:pPr>
        <w:spacing w:after="0"/>
        <w:ind w:left="0"/>
        <w:jc w:val="both"/>
      </w:pPr>
      <w:r>
        <w:rPr>
          <w:rFonts w:ascii="Times New Roman"/>
          <w:b w:val="false"/>
          <w:i w:val="false"/>
          <w:color w:val="000000"/>
          <w:sz w:val="28"/>
        </w:rPr>
        <w:t>
      1) a state body;</w:t>
      </w:r>
    </w:p>
    <w:bookmarkEnd w:id="72"/>
    <w:bookmarkStart w:name="z359" w:id="73"/>
    <w:p>
      <w:pPr>
        <w:spacing w:after="0"/>
        <w:ind w:left="0"/>
        <w:jc w:val="both"/>
      </w:pPr>
      <w:r>
        <w:rPr>
          <w:rFonts w:ascii="Times New Roman"/>
          <w:b w:val="false"/>
          <w:i w:val="false"/>
          <w:color w:val="000000"/>
          <w:sz w:val="28"/>
        </w:rPr>
        <w:t>
      2) local public health authorities of oblasts, cities of republican status and the capital city;</w:t>
      </w:r>
    </w:p>
    <w:bookmarkEnd w:id="73"/>
    <w:p>
      <w:pPr>
        <w:spacing w:after="0"/>
        <w:ind w:left="0"/>
        <w:jc w:val="both"/>
      </w:pPr>
      <w:r>
        <w:rPr>
          <w:rFonts w:ascii="Times New Roman"/>
          <w:b w:val="false"/>
          <w:i w:val="false"/>
          <w:color w:val="000000"/>
          <w:sz w:val="28"/>
        </w:rPr>
        <w:t xml:space="preserve">
      3) Social Health Insurance Fund within the framework of monitoring of fulfillment of contractual obligations on quality and volume of medical services. </w:t>
      </w:r>
    </w:p>
    <w:bookmarkStart w:name="z361" w:id="74"/>
    <w:p>
      <w:pPr>
        <w:spacing w:after="0"/>
        <w:ind w:left="0"/>
        <w:jc w:val="both"/>
      </w:pPr>
      <w:r>
        <w:rPr>
          <w:rFonts w:ascii="Times New Roman"/>
          <w:b w:val="false"/>
          <w:i w:val="false"/>
          <w:color w:val="000000"/>
          <w:sz w:val="28"/>
        </w:rPr>
        <w:t xml:space="preserve">
      4) independent health care experts; </w:t>
      </w:r>
    </w:p>
    <w:bookmarkEnd w:id="74"/>
    <w:p>
      <w:pPr>
        <w:spacing w:after="0"/>
        <w:ind w:left="0"/>
        <w:jc w:val="both"/>
      </w:pPr>
      <w:r>
        <w:rPr>
          <w:rFonts w:ascii="Times New Roman"/>
          <w:b w:val="false"/>
          <w:i w:val="false"/>
          <w:color w:val="000000"/>
          <w:sz w:val="28"/>
        </w:rPr>
        <w:t>
      5) by the Department of the Office of the President of the Republic of Kazakhstan in relation to subordinate organizations.</w:t>
      </w:r>
    </w:p>
    <w:bookmarkStart w:name="z363" w:id="75"/>
    <w:p>
      <w:pPr>
        <w:spacing w:after="0"/>
        <w:ind w:left="0"/>
        <w:jc w:val="both"/>
      </w:pPr>
      <w:r>
        <w:rPr>
          <w:rFonts w:ascii="Times New Roman"/>
          <w:b w:val="false"/>
          <w:i w:val="false"/>
          <w:color w:val="000000"/>
          <w:sz w:val="28"/>
        </w:rPr>
        <w:t>
      27. Based on the external examination results, the following shall be analyzed:</w:t>
      </w:r>
    </w:p>
    <w:bookmarkEnd w:id="75"/>
    <w:bookmarkStart w:name="z364" w:id="76"/>
    <w:p>
      <w:pPr>
        <w:spacing w:after="0"/>
        <w:ind w:left="0"/>
        <w:jc w:val="both"/>
      </w:pPr>
      <w:r>
        <w:rPr>
          <w:rFonts w:ascii="Times New Roman"/>
          <w:b w:val="false"/>
          <w:i w:val="false"/>
          <w:color w:val="000000"/>
          <w:sz w:val="28"/>
        </w:rPr>
        <w:t>
      the result of the internal examination for compliance with the principles of expertise;</w:t>
      </w:r>
    </w:p>
    <w:bookmarkEnd w:id="76"/>
    <w:p>
      <w:pPr>
        <w:spacing w:after="0"/>
        <w:ind w:left="0"/>
        <w:jc w:val="both"/>
      </w:pPr>
      <w:r>
        <w:rPr>
          <w:rFonts w:ascii="Times New Roman"/>
          <w:b w:val="false"/>
          <w:i w:val="false"/>
          <w:color w:val="000000"/>
          <w:sz w:val="28"/>
        </w:rPr>
        <w:t>
      compliance and efficacy of measures taken by the Service;</w:t>
      </w:r>
    </w:p>
    <w:bookmarkStart w:name="z366" w:id="77"/>
    <w:p>
      <w:pPr>
        <w:spacing w:after="0"/>
        <w:ind w:left="0"/>
        <w:jc w:val="both"/>
      </w:pPr>
      <w:r>
        <w:rPr>
          <w:rFonts w:ascii="Times New Roman"/>
          <w:b w:val="false"/>
          <w:i w:val="false"/>
          <w:color w:val="000000"/>
          <w:sz w:val="28"/>
        </w:rPr>
        <w:t>
      compliance of threshold values in the dynamics of external indicators in accordance with the standards of medical care and indicators set out in Appendix 2 to these Rules (subject to the possibility of their application to this profile);</w:t>
      </w:r>
    </w:p>
    <w:bookmarkEnd w:id="77"/>
    <w:bookmarkStart w:name="z367" w:id="78"/>
    <w:p>
      <w:pPr>
        <w:spacing w:after="0"/>
        <w:ind w:left="0"/>
        <w:jc w:val="both"/>
      </w:pPr>
      <w:r>
        <w:rPr>
          <w:rFonts w:ascii="Times New Roman"/>
          <w:b w:val="false"/>
          <w:i w:val="false"/>
          <w:color w:val="000000"/>
          <w:sz w:val="28"/>
        </w:rPr>
        <w:t>
      quality of medical services (care) provided.</w:t>
      </w:r>
    </w:p>
    <w:bookmarkEnd w:id="78"/>
    <w:bookmarkStart w:name="z368" w:id="79"/>
    <w:p>
      <w:pPr>
        <w:spacing w:after="0"/>
        <w:ind w:left="0"/>
        <w:jc w:val="both"/>
      </w:pPr>
      <w:r>
        <w:rPr>
          <w:rFonts w:ascii="Times New Roman"/>
          <w:b w:val="false"/>
          <w:i w:val="false"/>
          <w:color w:val="000000"/>
          <w:sz w:val="28"/>
        </w:rPr>
        <w:t>
      28. The state body, local state bodies of healthcare administration of regions, cities of republican significance and the capital and the Social Health Insurance Fund conduct external examination of the quality of medical services (assistance), including with the involvement of independent experts in the field of healthcare.</w:t>
      </w:r>
    </w:p>
    <w:bookmarkEnd w:id="79"/>
    <w:p>
      <w:pPr>
        <w:spacing w:after="0"/>
        <w:ind w:left="0"/>
        <w:jc w:val="both"/>
      </w:pPr>
      <w:r>
        <w:rPr>
          <w:rFonts w:ascii="Times New Roman"/>
          <w:b w:val="false"/>
          <w:i w:val="false"/>
          <w:color w:val="000000"/>
          <w:sz w:val="28"/>
        </w:rPr>
        <w:t>
      In the absence of conditions for engaging independent experts, the presence of a conflict of interest of an independent expert in healthcare organizations entitled to provide independent experts, as well as in the period from the completion of civil (contractual) relations between healthcare organizations entitled to provide independent experts and a government agency and until the completion of competitive procedures, as well as the absence of an independent expert in this speciality, according to the nomenclature of specialities and specializations in the field of healthcare, approved by the order of the Minister of Healthcare of the Republic of Kazakhstan dated December 21, 2020, № ҚР ДСМ-305/2020 "On approval of the nomenclature of specialities and specializations in the field of healthcare, the nomenclature and qualification characteristics of positions of healthcare workers" (registered in the State Register of Normative Legal Acts under № 21856), specialized specialists in the field of healthcare shall be involved to assess the quality of medical care by the decision:</w:t>
      </w:r>
    </w:p>
    <w:p>
      <w:pPr>
        <w:spacing w:after="0"/>
        <w:ind w:left="0"/>
        <w:jc w:val="both"/>
      </w:pPr>
      <w:r>
        <w:rPr>
          <w:rFonts w:ascii="Times New Roman"/>
          <w:b w:val="false"/>
          <w:i w:val="false"/>
          <w:color w:val="000000"/>
          <w:sz w:val="28"/>
        </w:rPr>
        <w:t>
      1) a government agency;</w:t>
      </w:r>
    </w:p>
    <w:p>
      <w:pPr>
        <w:spacing w:after="0"/>
        <w:ind w:left="0"/>
        <w:jc w:val="both"/>
      </w:pPr>
      <w:r>
        <w:rPr>
          <w:rFonts w:ascii="Times New Roman"/>
          <w:b w:val="false"/>
          <w:i w:val="false"/>
          <w:color w:val="000000"/>
          <w:sz w:val="28"/>
        </w:rPr>
        <w:t>
      2) a territorial subdivision of a government agency;</w:t>
      </w:r>
    </w:p>
    <w:p>
      <w:pPr>
        <w:spacing w:after="0"/>
        <w:ind w:left="0"/>
        <w:jc w:val="both"/>
      </w:pPr>
      <w:r>
        <w:rPr>
          <w:rFonts w:ascii="Times New Roman"/>
          <w:b w:val="false"/>
          <w:i w:val="false"/>
          <w:color w:val="000000"/>
          <w:sz w:val="28"/>
        </w:rPr>
        <w:t>
      3) local government bodies for health care in regions, cities of republican significance and the capital;</w:t>
      </w:r>
    </w:p>
    <w:p>
      <w:pPr>
        <w:spacing w:after="0"/>
        <w:ind w:left="0"/>
        <w:jc w:val="both"/>
      </w:pPr>
      <w:r>
        <w:rPr>
          <w:rFonts w:ascii="Times New Roman"/>
          <w:b w:val="false"/>
          <w:i w:val="false"/>
          <w:color w:val="000000"/>
          <w:sz w:val="28"/>
        </w:rPr>
        <w:t>
      4) Social Health Insurance Fund.</w:t>
      </w:r>
    </w:p>
    <w:p>
      <w:pPr>
        <w:spacing w:after="0"/>
        <w:ind w:left="0"/>
        <w:jc w:val="both"/>
      </w:pPr>
      <w:r>
        <w:rPr>
          <w:rFonts w:ascii="Times New Roman"/>
          <w:b w:val="false"/>
          <w:i w:val="false"/>
          <w:color w:val="000000"/>
          <w:sz w:val="28"/>
        </w:rPr>
        <w:t>
      Based on the results of the assessment of the quality of medical care, specialized healthcare specialists shall, within the scope of their competence, provide a conclusion with findings on the quality of medical services (care) provided, concerning regulatory legal acts, standards for the provision of medical care, rules for the provision of medical care, clinical protocols for diagnosis and treatment, scientifically proven published data for the formation of reasoned conclusions and inclusion in the conclusion of the external examination of the quality of medical services (care) in the form according to Appendix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375" w:id="80"/>
    <w:p>
      <w:pPr>
        <w:spacing w:after="0"/>
        <w:ind w:left="0"/>
        <w:jc w:val="both"/>
      </w:pPr>
      <w:r>
        <w:rPr>
          <w:rFonts w:ascii="Times New Roman"/>
          <w:b w:val="false"/>
          <w:i w:val="false"/>
          <w:color w:val="000000"/>
          <w:sz w:val="28"/>
        </w:rPr>
        <w:t>
      29. An external examination of all cases of maternal mortality (except for accidents) shall be carried out by a state body.</w:t>
      </w:r>
    </w:p>
    <w:bookmarkEnd w:id="80"/>
    <w:bookmarkStart w:name="z376" w:id="81"/>
    <w:p>
      <w:pPr>
        <w:spacing w:after="0"/>
        <w:ind w:left="0"/>
        <w:jc w:val="both"/>
      </w:pPr>
      <w:r>
        <w:rPr>
          <w:rFonts w:ascii="Times New Roman"/>
          <w:b w:val="false"/>
          <w:i w:val="false"/>
          <w:color w:val="000000"/>
          <w:sz w:val="28"/>
        </w:rPr>
        <w:t>
      30. If defects are identified based on the external examination results, no later than 10 calendar days after the full completion of consideration of applications from individuals and legal entities, as well as reports on maternal mortality cases and other applications, the state body shall send to the Fund, law enforcement bodies and local government health authorities of the oblast, cities of republican status and the capital, information for taking response measures within the competence.</w:t>
      </w:r>
    </w:p>
    <w:bookmarkEnd w:id="81"/>
    <w:bookmarkStart w:name="z377" w:id="82"/>
    <w:p>
      <w:pPr>
        <w:spacing w:after="0"/>
        <w:ind w:left="0"/>
        <w:jc w:val="both"/>
      </w:pPr>
      <w:r>
        <w:rPr>
          <w:rFonts w:ascii="Times New Roman"/>
          <w:b w:val="false"/>
          <w:i w:val="false"/>
          <w:color w:val="000000"/>
          <w:sz w:val="28"/>
        </w:rPr>
        <w:t>
      31. If violations of standards for the organization of medical care, rules for the organization of medical care in cases of fatal outcomes, harm to human health that is dangerous to his life, or other harm to health that entails: loss of vision, speech, hearing or any organ; loss of organ functions; permanent disfigurement of the face; signs of permanent loss of ability to work, termination of pregnancy are detected, the state body, in accordance with Article 179 of the Criminal Procedure Code of the Republic of Kazakhstan, shall send materials based on the results of the inspection to the internal affairs agencies for making a procedural decision.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378" w:id="83"/>
    <w:p>
      <w:pPr>
        <w:spacing w:after="0"/>
        <w:ind w:left="0"/>
        <w:jc w:val="both"/>
      </w:pPr>
      <w:r>
        <w:rPr>
          <w:rFonts w:ascii="Times New Roman"/>
          <w:b w:val="false"/>
          <w:i w:val="false"/>
          <w:color w:val="000000"/>
          <w:sz w:val="28"/>
        </w:rPr>
        <w:t>
      32. Based on the results of an external examination of the quality of medical services (care) carried out by a state body, local public health authorities of oblasts, cities of republican status and the capital and the results of monitoring the quality of medical care carried out by the Fund, the state body shall conduct an analysis to develop proposals for improving the provision of medical services (care).</w:t>
      </w:r>
    </w:p>
    <w:bookmarkEnd w:id="83"/>
    <w:bookmarkStart w:name="z379" w:id="84"/>
    <w:p>
      <w:pPr>
        <w:spacing w:after="0"/>
        <w:ind w:left="0"/>
        <w:jc w:val="both"/>
      </w:pPr>
      <w:r>
        <w:rPr>
          <w:rFonts w:ascii="Times New Roman"/>
          <w:b w:val="false"/>
          <w:i w:val="false"/>
          <w:color w:val="000000"/>
          <w:sz w:val="28"/>
        </w:rPr>
        <w:t>
      33. When conducting an inspection of health care entities, a specialist of the state body shall provide the expert with the materials that are the subject of the examination. If necessary, he organizes a meeting with the applicant (with the applicant’s consent).</w:t>
      </w:r>
    </w:p>
    <w:bookmarkEnd w:id="84"/>
    <w:bookmarkStart w:name="z380" w:id="85"/>
    <w:p>
      <w:pPr>
        <w:spacing w:after="0"/>
        <w:ind w:left="0"/>
        <w:jc w:val="both"/>
      </w:pPr>
      <w:r>
        <w:rPr>
          <w:rFonts w:ascii="Times New Roman"/>
          <w:b w:val="false"/>
          <w:i w:val="false"/>
          <w:color w:val="000000"/>
          <w:sz w:val="28"/>
        </w:rPr>
        <w:t>
      34. Upon completion of the expert examination by the state body a conclusion shall be drawn up in the form of Appendix 4 to these Rules.</w:t>
      </w:r>
    </w:p>
    <w:bookmarkEnd w:id="85"/>
    <w:bookmarkStart w:name="z381" w:id="86"/>
    <w:p>
      <w:pPr>
        <w:spacing w:after="0"/>
        <w:ind w:left="0"/>
        <w:jc w:val="both"/>
      </w:pPr>
      <w:r>
        <w:rPr>
          <w:rFonts w:ascii="Times New Roman"/>
          <w:b w:val="false"/>
          <w:i w:val="false"/>
          <w:color w:val="000000"/>
          <w:sz w:val="28"/>
        </w:rPr>
        <w:t>
      35. The Fund shall conduct an external examination as part of monitoring the fulfillment of contractual obligations on the quality and volume of medical services in accordance with the order of the Acting Minister of Health of the Republic of Kazakhstan dated December 24, 2020 № ҚР ДСМ -321/2020 “On approval of the Rules for monitoring the fulfillment of the contractual terms of the procurement of medical services from health care entities within the guaranteed volume of free medical care and (or) in the system of compulsory social health insurance”  (registered in the Register of State Registration of Regulatory Legal Acts under № 21904) (hereinafter referred to as Order № ҚР ДСМ -321/2020).</w:t>
      </w:r>
    </w:p>
    <w:bookmarkEnd w:id="86"/>
    <w:bookmarkStart w:name="z382" w:id="87"/>
    <w:p>
      <w:pPr>
        <w:spacing w:after="0"/>
        <w:ind w:left="0"/>
        <w:jc w:val="both"/>
      </w:pPr>
      <w:r>
        <w:rPr>
          <w:rFonts w:ascii="Times New Roman"/>
          <w:b w:val="false"/>
          <w:i w:val="false"/>
          <w:color w:val="000000"/>
          <w:sz w:val="28"/>
        </w:rPr>
        <w:t>
      36. Local public health authorities of oblasts, cities of republican status and the capital  shall conduct external examination of the quality of medical services (care) and payment for services of healthcare entities as part of monitoring the fulfillment of contractual obligations on the quality and volume of medical services in relation to medical organizations providing medical care to persons held at pre-trial detention facilities and penal (penitentiary) institutions in accordance with these Rules and the order of the Minister of Health of the Republic of Kazakhstan dated May 13, 2022 № ҚР ДСМ -43 “On approval of the rules for monitoring contractual obligations on the quality and volume of medical services of healthcare entities as part of the additional scope of medical care for persons held in pre-trial detention facilities and institutions of the criminal executive (penitentiary) system” (registered in the Register of State Registration of Regulatory Legal Acts under № 28054) (hereinafter referred to as Order № ҚР ДСМ -43).</w:t>
      </w:r>
    </w:p>
    <w:bookmarkEnd w:id="87"/>
    <w:bookmarkStart w:name="z383" w:id="88"/>
    <w:p>
      <w:pPr>
        <w:spacing w:after="0"/>
        <w:ind w:left="0"/>
        <w:jc w:val="both"/>
      </w:pPr>
      <w:r>
        <w:rPr>
          <w:rFonts w:ascii="Times New Roman"/>
          <w:b w:val="false"/>
          <w:i w:val="false"/>
          <w:color w:val="000000"/>
          <w:sz w:val="28"/>
        </w:rPr>
        <w:t>
      37. The Fund, local public health authorities of oblasts, cities of republican status and the capital city shall provide the independent expert with the materials that are the subject of expertise.</w:t>
      </w:r>
    </w:p>
    <w:bookmarkEnd w:id="88"/>
    <w:p>
      <w:pPr>
        <w:spacing w:after="0"/>
        <w:ind w:left="0"/>
        <w:jc w:val="both"/>
      </w:pPr>
      <w:r>
        <w:rPr>
          <w:rFonts w:ascii="Times New Roman"/>
          <w:b w:val="false"/>
          <w:i w:val="false"/>
          <w:color w:val="000000"/>
          <w:sz w:val="28"/>
        </w:rPr>
        <w:t xml:space="preserve">
      38. Upon completion of the external expertise, the Fund draws up a conclusion on monitoring the quality and volume of medical services (assistance), as well as on the proper fulfillment of the terms and conditions of the contract for the procurement of services according to </w:t>
      </w:r>
      <w:r>
        <w:rPr>
          <w:rFonts w:ascii="Times New Roman"/>
          <w:b w:val="false"/>
          <w:i w:val="false"/>
          <w:color w:val="000000"/>
          <w:sz w:val="28"/>
          <w:u w:val="single"/>
        </w:rPr>
        <w:t>Appendix 2</w:t>
      </w:r>
      <w:r>
        <w:rPr>
          <w:rFonts w:ascii="Times New Roman"/>
          <w:b w:val="false"/>
          <w:i w:val="false"/>
          <w:color w:val="000000"/>
          <w:sz w:val="28"/>
        </w:rPr>
        <w:t xml:space="preserve"> to the order № ҚР ДСМ-321/2020.</w:t>
      </w:r>
    </w:p>
    <w:bookmarkStart w:name="z385" w:id="89"/>
    <w:p>
      <w:pPr>
        <w:spacing w:after="0"/>
        <w:ind w:left="0"/>
        <w:jc w:val="both"/>
      </w:pPr>
      <w:r>
        <w:rPr>
          <w:rFonts w:ascii="Times New Roman"/>
          <w:b w:val="false"/>
          <w:i w:val="false"/>
          <w:color w:val="000000"/>
          <w:sz w:val="28"/>
        </w:rPr>
        <w:t xml:space="preserve">
      39. Upon completion of the external examination of the quality of medical services (care), local public health authorities of oblasts, cities of republican status and the capital city shall draw up a conclusion on monitoring the quality and volume of medical services according to </w:t>
      </w:r>
      <w:r>
        <w:rPr>
          <w:rFonts w:ascii="Times New Roman"/>
          <w:b w:val="false"/>
          <w:i w:val="false"/>
          <w:color w:val="000000"/>
          <w:sz w:val="28"/>
          <w:u w:val="single"/>
        </w:rPr>
        <w:t>Appendix 2</w:t>
      </w:r>
      <w:r>
        <w:rPr>
          <w:rFonts w:ascii="Times New Roman"/>
          <w:b w:val="false"/>
          <w:i w:val="false"/>
          <w:color w:val="000000"/>
          <w:sz w:val="28"/>
        </w:rPr>
        <w:t xml:space="preserve"> to the rules for monitoring of contractual obligations on the quality and volume of medical services of health care entities within the framework of additional medical assistance to persons held in pre-trial detention facilities and penal institutions approved by Order № ҚР ДСМ-43.</w:t>
      </w:r>
    </w:p>
    <w:bookmarkEnd w:id="89"/>
    <w:bookmarkStart w:name="z386" w:id="90"/>
    <w:p>
      <w:pPr>
        <w:spacing w:after="0"/>
        <w:ind w:left="0"/>
        <w:jc w:val="both"/>
      </w:pPr>
      <w:r>
        <w:rPr>
          <w:rFonts w:ascii="Times New Roman"/>
          <w:b w:val="false"/>
          <w:i w:val="false"/>
          <w:color w:val="000000"/>
          <w:sz w:val="28"/>
        </w:rPr>
        <w:t>
      40. Independent health care experts shall conduct external expert examination when they are engaged by individuals or legal entities on a contractual basis.</w:t>
      </w:r>
    </w:p>
    <w:bookmarkEnd w:id="90"/>
    <w:bookmarkStart w:name="z387" w:id="91"/>
    <w:p>
      <w:pPr>
        <w:spacing w:after="0"/>
        <w:ind w:left="0"/>
        <w:jc w:val="both"/>
      </w:pPr>
      <w:r>
        <w:rPr>
          <w:rFonts w:ascii="Times New Roman"/>
          <w:b w:val="false"/>
          <w:i w:val="false"/>
          <w:color w:val="000000"/>
          <w:sz w:val="28"/>
        </w:rPr>
        <w:t>
      Information on independent experts shall be contained in the Register of independent experts formed by the state body in accordance with the order of the Minister of Health of the Republic of Kazakhstan dated October 21, 2020 № ҚР ДСМ-145/2020 “On approval of the rules for maintaining the register of independent experts, as well as the basis for inclusion in the unified register of independent experts and exclusion from it” (registered in the Register of state registration of Regulatory Legal Acts legal Acts under № 21509). The register of independent experts shall be posted on the website of the state body.</w:t>
      </w:r>
    </w:p>
    <w:bookmarkEnd w:id="91"/>
    <w:bookmarkStart w:name="z388" w:id="92"/>
    <w:p>
      <w:pPr>
        <w:spacing w:after="0"/>
        <w:ind w:left="0"/>
        <w:jc w:val="both"/>
      </w:pPr>
      <w:r>
        <w:rPr>
          <w:rFonts w:ascii="Times New Roman"/>
          <w:b w:val="false"/>
          <w:i w:val="false"/>
          <w:color w:val="000000"/>
          <w:sz w:val="28"/>
        </w:rPr>
        <w:t>
      41. When performing an independent expert examination, individuals or legal entities engaging independent experts on a contractual basis (hereinafter referred to as the Customer) shall provide the independent expert with materials that are the subject of the expert examination.</w:t>
      </w:r>
    </w:p>
    <w:bookmarkEnd w:id="92"/>
    <w:p>
      <w:pPr>
        <w:spacing w:after="0"/>
        <w:ind w:left="0"/>
        <w:jc w:val="both"/>
      </w:pPr>
      <w:r>
        <w:rPr>
          <w:rFonts w:ascii="Times New Roman"/>
          <w:b w:val="false"/>
          <w:i w:val="false"/>
          <w:color w:val="000000"/>
          <w:sz w:val="28"/>
        </w:rPr>
        <w:t>
      If the questions raised are beyond the scope of special knowledge of the independent expert or the materials provided are insufficient to provide an expert opinion, the independent expert shall refuse to provide an expert opinion.</w:t>
      </w:r>
    </w:p>
    <w:bookmarkStart w:name="z390" w:id="93"/>
    <w:p>
      <w:pPr>
        <w:spacing w:after="0"/>
        <w:ind w:left="0"/>
        <w:jc w:val="both"/>
      </w:pPr>
      <w:r>
        <w:rPr>
          <w:rFonts w:ascii="Times New Roman"/>
          <w:b w:val="false"/>
          <w:i w:val="false"/>
          <w:color w:val="000000"/>
          <w:sz w:val="28"/>
        </w:rPr>
        <w:t>
      42. Expertise conducted by independent experts hired by a state body shall be divided into the following categories:</w:t>
      </w:r>
    </w:p>
    <w:bookmarkEnd w:id="93"/>
    <w:bookmarkStart w:name="z391" w:id="94"/>
    <w:p>
      <w:pPr>
        <w:spacing w:after="0"/>
        <w:ind w:left="0"/>
        <w:jc w:val="both"/>
      </w:pPr>
      <w:r>
        <w:rPr>
          <w:rFonts w:ascii="Times New Roman"/>
          <w:b w:val="false"/>
          <w:i w:val="false"/>
          <w:color w:val="000000"/>
          <w:sz w:val="28"/>
        </w:rPr>
        <w:t>
      1) examination of the quality of medical services (care) with unfavorable outcome:</w:t>
      </w:r>
    </w:p>
    <w:bookmarkEnd w:id="94"/>
    <w:bookmarkStart w:name="z392" w:id="95"/>
    <w:p>
      <w:pPr>
        <w:spacing w:after="0"/>
        <w:ind w:left="0"/>
        <w:jc w:val="both"/>
      </w:pPr>
      <w:r>
        <w:rPr>
          <w:rFonts w:ascii="Times New Roman"/>
          <w:b w:val="false"/>
          <w:i w:val="false"/>
          <w:color w:val="000000"/>
          <w:sz w:val="28"/>
        </w:rPr>
        <w:t>
      examination of histologic and, if available, pathologic studies;</w:t>
      </w:r>
    </w:p>
    <w:bookmarkEnd w:id="95"/>
    <w:bookmarkStart w:name="z393" w:id="96"/>
    <w:p>
      <w:pPr>
        <w:spacing w:after="0"/>
        <w:ind w:left="0"/>
        <w:jc w:val="both"/>
      </w:pPr>
      <w:r>
        <w:rPr>
          <w:rFonts w:ascii="Times New Roman"/>
          <w:b w:val="false"/>
          <w:i w:val="false"/>
          <w:color w:val="000000"/>
          <w:sz w:val="28"/>
        </w:rPr>
        <w:t>
      study of medical records of not more than two health care organizations (according to the patient's medical care route);</w:t>
      </w:r>
    </w:p>
    <w:bookmarkEnd w:id="96"/>
    <w:p>
      <w:pPr>
        <w:spacing w:after="0"/>
        <w:ind w:left="0"/>
        <w:jc w:val="both"/>
      </w:pPr>
      <w:r>
        <w:rPr>
          <w:rFonts w:ascii="Times New Roman"/>
          <w:b w:val="false"/>
          <w:i w:val="false"/>
          <w:color w:val="000000"/>
          <w:sz w:val="28"/>
        </w:rPr>
        <w:t>
      study of medical records of three or more health care organizations (according to the patient's medical care route);</w:t>
      </w:r>
    </w:p>
    <w:bookmarkStart w:name="z395" w:id="97"/>
    <w:p>
      <w:pPr>
        <w:spacing w:after="0"/>
        <w:ind w:left="0"/>
        <w:jc w:val="both"/>
      </w:pPr>
      <w:r>
        <w:rPr>
          <w:rFonts w:ascii="Times New Roman"/>
          <w:b w:val="false"/>
          <w:i w:val="false"/>
          <w:color w:val="000000"/>
          <w:sz w:val="28"/>
        </w:rPr>
        <w:t>
      Medical services (care) provided with an unfavorable outcome include the provision of medical services (care) in the event of non-compliance with the Standards and Rules for the provision of medical care, which resulted in death, a life-threatening condition, significant permanent loss of general ability to work, or complete loss of professional ability to work.</w:t>
      </w:r>
    </w:p>
    <w:bookmarkEnd w:id="97"/>
    <w:bookmarkStart w:name="z396" w:id="98"/>
    <w:p>
      <w:pPr>
        <w:spacing w:after="0"/>
        <w:ind w:left="0"/>
        <w:jc w:val="both"/>
      </w:pPr>
      <w:r>
        <w:rPr>
          <w:rFonts w:ascii="Times New Roman"/>
          <w:b w:val="false"/>
          <w:i w:val="false"/>
          <w:color w:val="000000"/>
          <w:sz w:val="28"/>
        </w:rPr>
        <w:t>
      Provision of medical services (care) with a favorable outcome includes provision of medical services (care) with non-compliance with the Standards and Rules for the provision of medical care, which did not result in harm to human life and health.</w:t>
      </w:r>
    </w:p>
    <w:bookmarkEnd w:id="98"/>
    <w:bookmarkStart w:name="z397" w:id="99"/>
    <w:p>
      <w:pPr>
        <w:spacing w:after="0"/>
        <w:ind w:left="0"/>
        <w:jc w:val="both"/>
      </w:pPr>
      <w:r>
        <w:rPr>
          <w:rFonts w:ascii="Times New Roman"/>
          <w:b w:val="false"/>
          <w:i w:val="false"/>
          <w:color w:val="000000"/>
          <w:sz w:val="28"/>
        </w:rPr>
        <w:t xml:space="preserve">
      43. Upon completion of the external expert examination of the quality of medical services (care), the independent expert shall submit an expert opinion in the form of </w:t>
      </w:r>
      <w:r>
        <w:rPr>
          <w:rFonts w:ascii="Times New Roman"/>
          <w:b w:val="false"/>
          <w:i w:val="false"/>
          <w:color w:val="000000"/>
          <w:sz w:val="28"/>
          <w:u w:val="single"/>
        </w:rPr>
        <w:t>Appendix 3</w:t>
      </w:r>
      <w:r>
        <w:rPr>
          <w:rFonts w:ascii="Times New Roman"/>
          <w:b w:val="false"/>
          <w:i w:val="false"/>
          <w:color w:val="000000"/>
          <w:sz w:val="28"/>
        </w:rPr>
        <w:t xml:space="preserve"> to these Rules.</w:t>
      </w:r>
    </w:p>
    <w:bookmarkEnd w:id="99"/>
    <w:bookmarkStart w:name="z398" w:id="100"/>
    <w:p>
      <w:pPr>
        <w:spacing w:after="0"/>
        <w:ind w:left="0"/>
        <w:jc w:val="both"/>
      </w:pPr>
      <w:r>
        <w:rPr>
          <w:rFonts w:ascii="Times New Roman"/>
          <w:b w:val="false"/>
          <w:i w:val="false"/>
          <w:color w:val="000000"/>
          <w:sz w:val="28"/>
        </w:rPr>
        <w:t>
      The expert opinion of the independent expert shall be drawn up in three copies. One copy shall be given to the health care entity, the second copy - to the Customer, the third copy remains with the independent expert.</w:t>
      </w:r>
    </w:p>
    <w:bookmarkEnd w:id="100"/>
    <w:bookmarkStart w:name="z399" w:id="101"/>
    <w:p>
      <w:pPr>
        <w:spacing w:after="0"/>
        <w:ind w:left="0"/>
        <w:jc w:val="both"/>
      </w:pPr>
      <w:r>
        <w:rPr>
          <w:rFonts w:ascii="Times New Roman"/>
          <w:b w:val="false"/>
          <w:i w:val="false"/>
          <w:color w:val="000000"/>
          <w:sz w:val="28"/>
        </w:rPr>
        <w:t>
      Upon completion of the external examination of the quality of medical services (care), the Conclusion of the examination of the state body on the quality of medical services (care) provided shall be completed in accordance with Appendix 4 to these Rules. The conclusion of the examination of the state body on the quality of medical services (care) shall be drawn up in three copies, one copy shall be handed over to the health care entity, the second copy shall be sent to the authorized body in legal statistics and special records, the third copy shall be kept by the state body.</w:t>
      </w:r>
    </w:p>
    <w:bookmarkEnd w:id="101"/>
    <w:bookmarkStart w:name="z400" w:id="102"/>
    <w:p>
      <w:pPr>
        <w:spacing w:after="0"/>
        <w:ind w:left="0"/>
        <w:jc w:val="both"/>
      </w:pPr>
      <w:r>
        <w:rPr>
          <w:rFonts w:ascii="Times New Roman"/>
          <w:b w:val="false"/>
          <w:i w:val="false"/>
          <w:color w:val="000000"/>
          <w:sz w:val="28"/>
        </w:rPr>
        <w:t>
      44. Comments and (or) objections on the external examination results shall be stated in writing and attached to the external examination conclusion. Based on the results of the external examination of the quality of medical services (care), the head of a medical organization shall take management measures, including determining the need and direction of training programs for doctors and nursing staff.</w:t>
      </w:r>
    </w:p>
    <w:bookmarkEnd w:id="102"/>
    <w:bookmarkStart w:name="z401" w:id="103"/>
    <w:p>
      <w:pPr>
        <w:spacing w:after="0"/>
        <w:ind w:left="0"/>
        <w:jc w:val="both"/>
      </w:pPr>
      <w:r>
        <w:rPr>
          <w:rFonts w:ascii="Times New Roman"/>
          <w:b w:val="false"/>
          <w:i w:val="false"/>
          <w:color w:val="000000"/>
          <w:sz w:val="28"/>
        </w:rPr>
        <w:t>
      45. Repeated expert examination shall be conducted in cases of disagreement with the conclusions of external expert examination on the basis of applications of health care entities, individuals or legal entities.</w:t>
      </w:r>
    </w:p>
    <w:bookmarkEnd w:id="103"/>
    <w:bookmarkStart w:name="z402" w:id="104"/>
    <w:p>
      <w:pPr>
        <w:spacing w:after="0"/>
        <w:ind w:left="0"/>
        <w:jc w:val="both"/>
      </w:pPr>
      <w:r>
        <w:rPr>
          <w:rFonts w:ascii="Times New Roman"/>
          <w:b w:val="false"/>
          <w:i w:val="false"/>
          <w:color w:val="000000"/>
          <w:sz w:val="28"/>
        </w:rPr>
        <w:t>
      When conducting a re-examination, experts who did not take part in the initial examination are involved.</w:t>
      </w:r>
    </w:p>
    <w:bookmarkEnd w:id="104"/>
    <w:bookmarkStart w:name="z403" w:id="105"/>
    <w:p>
      <w:pPr>
        <w:spacing w:after="0"/>
        <w:ind w:left="0"/>
        <w:jc w:val="both"/>
      </w:pPr>
      <w:r>
        <w:rPr>
          <w:rFonts w:ascii="Times New Roman"/>
          <w:b w:val="false"/>
          <w:i w:val="false"/>
          <w:color w:val="000000"/>
          <w:sz w:val="28"/>
        </w:rPr>
        <w:t>
      46. ​​A complaint about disagreement with conclusions of the external expert examination shall be filed to a higher state body (higher official) or to the court as required by the legislation of the Republic of Kazakhstan.</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conducting internal and external examination</w:t>
            </w:r>
            <w:r>
              <w:br/>
            </w:r>
            <w:r>
              <w:rPr>
                <w:rFonts w:ascii="Times New Roman"/>
                <w:b w:val="false"/>
                <w:i w:val="false"/>
                <w:color w:val="000000"/>
                <w:sz w:val="20"/>
              </w:rPr>
              <w:t>of the quality of medical services (care)</w:t>
            </w:r>
          </w:p>
        </w:tc>
      </w:tr>
    </w:tbl>
    <w:bookmarkStart w:name="z405" w:id="106"/>
    <w:p>
      <w:pPr>
        <w:spacing w:after="0"/>
        <w:ind w:left="0"/>
        <w:jc w:val="left"/>
      </w:pPr>
      <w:r>
        <w:rPr>
          <w:rFonts w:ascii="Times New Roman"/>
          <w:b/>
          <w:i w:val="false"/>
          <w:color w:val="000000"/>
        </w:rPr>
        <w:t xml:space="preserve"> Internal indicators</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Calculation formula/Unit of measure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source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indicators for organizations providing inpatient care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rate in planned hospitalization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inpatient deaths (excluding patients receiving oncologic, hematologic and palliative care) of the total number of patients that dropped out (were discharged, died)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inpatient mortality 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deaths in the first 24 hours of hospital stay from the total number of patients admitted during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DISC, ERI IS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mortality rate in cases of planned hospitalization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inpatient deaths after surgical interventions out of the number of patients operated on routinely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Reported data,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intraoperative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intraoperative complications from the total number of surgeries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Reported data,  IPMR, form of recording the operation and manipulation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postoperative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postoperative complications from the total number of surgeries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Reported data,  IPMR, form of recording the operation and manipulation,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maternal deaths, of which from: obstetric hemorrhage, gestosis, abortion, extragenital pathology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data of pregnant women and postpartum women of the medical organization, maternal mortality record card,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 zero for reasons that are manageable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birth injury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birth traumatism cases out of the total number of births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form of recording the operation and manipulation,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emergency cesarean sections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emergency cesarean sections out of the total number of cesarean sections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form of recording the operation and manipulation,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admission of pregnant women to the hospital within 24 hours of denied hospitalization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pregnant women admitted to hospital within 24 hours of denied hospitalization from the total number of hospitalized  pregnant women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 mortality rate, of which from: respiratory diseases, intestinal infections, congenital malformations, diseases of the perinatal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APR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of the reporting period compared to the previous one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injury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 of  newborn injuries out of the total number of newborns in the reporting period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Intrapartum fetal death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intrapartum fetal deaths per 100 live and still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of the reporting period compared to the previous one by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neonatal mortality rate (up to 7 days of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early neonatal mortality per 1,000 live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APR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of the reporting period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purulent-septic processes after surgical interventions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 of purulent-septic processes after surgical interventions from the total number of operations in the reporting period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purulent-septic processes of newborns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purulent-septic processes of newborns from the number of live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Readmission rate within a month for the same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readmissions to hospital within a month for the same disease from the number of  hospitalized in the reporting period (except for patients with oncologic and hematologic diseases and patients receiving substitution therapy)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discrepancies between clinical and pathological diagnoses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of pathological examination,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justified complaints for quality of medical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justified complaints per 1000 patients treated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log of applications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must not exceed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epidemiological investigation of hospital-acquired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hospital-acquired infections with epidemiologic investigation of the total number of registered cases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review at the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for identifying causes and factors of the occurrence and spread of hospital-acquired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hospital-acquired infections with established causes and factors of the occurrence and spread of hospital-acquired infections from the total number of  registered cases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analysis at the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indicators for organizations providing outpatient care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working-age persons’ primary disability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territorial Department of the Committee of Labor, Social Protection and Migration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Maternal mortality rate, with defects in the provision of medical services at the level of PHC organizations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maternal deaths among attached residents with confirmed defects (experts) at the PHC organization level, during the reporting period per number of attached women of fertile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Maternal mortality record card (results of external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women with extragenital pathology who improved health among women of fertile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health-improved women of fertile age in the total number of women of fertile age in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outpatient statistical chart, MIS, DPER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indicator by 5%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Abortion rate relative to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abortions to the number of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hospitalization of pregnant women, in violation of the principle of regionalization (based on 24-hour hospital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pregnant women, hospitalized  in violation of the principle of regionalization from the total number of  hospitalized pregnant women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(diagnosis according to the international classification of diseases with indication of delivery), RPWWFA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 mortality rate, with defects in the provision of medical services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deaths  of children aged 0 to 1 year prevented at the PHC level per number of children aged 0 to 1 year among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Quarterly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chart for live born, stillborn and deceased child under 1 year of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doctor attendance of newborns in the first 3 days after discharge from maternity hospital (patronage)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newborns visited by a doctor in the first 3 days after discharge from the maternity hospital (patronage) per number of newborns during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emergency hospitalization of children under 5 with AEI, ARI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 of hospitalization of children under 5 years of age with AEI, ARI in the total number of hospitalizations of children under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congenital malformations in newborns undiagnosed in utero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medical history of a pregnant woman, woman in labor, postpartum woman,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exclusive breastfeeding for 6 months-old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children aged 6 months receiving exclusive breastfeeding from the total number of children aged 6 months, with the exception of abandoned foundlings and children born to HIV-infected mothers, mothers taking cytostatics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Breastfeeding rate for children under 2 years of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children breastfed up to 2 years of age out of the total number of children up to 2 years of age, excluding abandoned foundlings and children born to HIV-infected mothers, mothers taking cytostatics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indicator  by 5 %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neglected cases among newly diagnosed patients with pulmonary tuberculosis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neglected cases in first-time detected pulmonary tuberculosis among the attached population per number of first-time detected pulmonary tuberculosis cases among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DPER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rate of fluorographic examination of population groups at high risk of tuberculosis determined by the authorized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population groups at high risk of tuberculosis covered by fluorographic examination out of the total population at high risk of tuberculosis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of fluorographic examinations, registration log of fluorographic examinations, MIS reporting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coverage of the mandatory contingent with fluorographic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the mandatory contingent covered by fluorographic examination from the total number of the mandatory contingent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of fluorographic examinations, registration log of fluorographic examinations, MIS reporting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rate of tuberculosis patients by fluorography among population groups at high risk of tuberculosis as determined by the authorized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tuberculosis patients detected by fluorography among population groups at high risk of tuberculosis per 1000 surveys of population at high risk of tuberculosis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fluorographic examinations,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not less than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rate of patients with suspected tuberculosis among persons examined by microscopy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cases of tuberculosis detection by microscopy out of the total number of patients with suspected tuberculosis referred for microscopy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logbook for PHC laboratories, referral for laboratory testing, consultation, hospitalization, transfer to another hospital, MIS, NRTP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TB patients who interrupted therapy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first-time detected patients with stage 3-4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patients with malignant neoplasms of 3-4 stages detected for the first time from the total number of patients with malignant neoplasms detected for the first time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indicator by 5 %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first-time detected patients with stage 1-2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patients with malignant neoplasms of 1-2 stages detected for the first time from the total number of patients with malignant neoplasms detected for the first time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indicator  by 1 %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5-year survival rate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5-year survival of patients with malignant neoplasms in the total number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at least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justified complaints about medical service quality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justified complaints per 1000 cases of patient outpatient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must not exceed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Hospitalization rate of  persons with cardiovascular complications (arterial hypertension,</w:t>
            </w:r>
          </w:p>
          <w:p>
            <w:pPr>
              <w:spacing w:after="20"/>
              <w:ind w:left="20"/>
              <w:jc w:val="both"/>
            </w:pPr>
            <w:r>
              <w:rPr>
                <w:rFonts w:ascii="Times New Roman"/>
                <w:b w:val="false"/>
                <w:i w:val="false"/>
                <w:color w:val="000000"/>
                <w:sz w:val="20"/>
              </w:rPr>
              <w:t>
myocardial infarction,</w:t>
            </w:r>
          </w:p>
          <w:p>
            <w:pPr>
              <w:spacing w:after="20"/>
              <w:ind w:left="20"/>
              <w:jc w:val="both"/>
            </w:pPr>
            <w:r>
              <w:rPr>
                <w:rFonts w:ascii="Times New Roman"/>
                <w:b w:val="false"/>
                <w:i w:val="false"/>
                <w:color w:val="000000"/>
                <w:sz w:val="20"/>
              </w:rPr>
              <w:t>
stroke)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treated inpatients with cardiovascular complications  (arterial hypertension,</w:t>
            </w:r>
          </w:p>
          <w:p>
            <w:pPr>
              <w:spacing w:after="20"/>
              <w:ind w:left="20"/>
              <w:jc w:val="both"/>
            </w:pPr>
            <w:r>
              <w:rPr>
                <w:rFonts w:ascii="Times New Roman"/>
                <w:b w:val="false"/>
                <w:i w:val="false"/>
                <w:color w:val="000000"/>
                <w:sz w:val="20"/>
              </w:rPr>
              <w:t>
myocardial infarction,</w:t>
            </w:r>
          </w:p>
          <w:p>
            <w:pPr>
              <w:spacing w:after="20"/>
              <w:ind w:left="20"/>
              <w:jc w:val="both"/>
            </w:pPr>
            <w:r>
              <w:rPr>
                <w:rFonts w:ascii="Times New Roman"/>
                <w:b w:val="false"/>
                <w:i w:val="false"/>
                <w:color w:val="000000"/>
                <w:sz w:val="20"/>
              </w:rPr>
              <w:t>
stroke) in the number of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indicator of the reporting period compared to the previous one by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epidemiological investigation of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nosocomial infections with epidemiological investigations out of the total number of registered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analysis at a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for identifying causes and factors of occurrence and spread of hospital-acquired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nosocomial infections with identified causes and factors of occurrence and spread of nosocomial infections from the total number of registered cases of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analysis at a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Immunization coverage rate of children under 5 years of age against targeted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children in the target group covered by immunization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on an incremental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Form № 4 approved by Order № 415 of the Minister of National Economy of the Republic of Kazakhstan dated May 30, 2015, registration log of preventive vaccination,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95 % in a year (monthly no less than 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rate for stage 3 medical rehabilitation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patients, covered by 3 medical rehabilitation  to the total number of patients subject to medical rehabilitation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on an incremental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85 % in a year</w:t>
            </w:r>
          </w:p>
        </w:tc>
      </w:tr>
    </w:tbl>
    <w:bookmarkStart w:name="z406" w:id="107"/>
    <w:p>
      <w:pPr>
        <w:spacing w:after="0"/>
        <w:ind w:left="0"/>
        <w:jc w:val="both"/>
      </w:pPr>
      <w:r>
        <w:rPr>
          <w:rFonts w:ascii="Times New Roman"/>
          <w:b w:val="false"/>
          <w:i w:val="false"/>
          <w:color w:val="000000"/>
          <w:sz w:val="28"/>
        </w:rPr>
        <w:t>
      Note:</w:t>
      </w:r>
    </w:p>
    <w:bookmarkEnd w:id="107"/>
    <w:bookmarkStart w:name="z407" w:id="108"/>
    <w:p>
      <w:pPr>
        <w:spacing w:after="0"/>
        <w:ind w:left="0"/>
        <w:jc w:val="both"/>
      </w:pPr>
      <w:r>
        <w:rPr>
          <w:rFonts w:ascii="Times New Roman"/>
          <w:b w:val="false"/>
          <w:i w:val="false"/>
          <w:color w:val="000000"/>
          <w:sz w:val="28"/>
        </w:rPr>
        <w:t xml:space="preserve">
      1. IPMR – In-Patient Medical Record </w:t>
      </w:r>
    </w:p>
    <w:bookmarkEnd w:id="108"/>
    <w:bookmarkStart w:name="z408" w:id="109"/>
    <w:p>
      <w:pPr>
        <w:spacing w:after="0"/>
        <w:ind w:left="0"/>
        <w:jc w:val="both"/>
      </w:pPr>
      <w:r>
        <w:rPr>
          <w:rFonts w:ascii="Times New Roman"/>
          <w:b w:val="false"/>
          <w:i w:val="false"/>
          <w:color w:val="000000"/>
          <w:sz w:val="28"/>
        </w:rPr>
        <w:t>
      2. ERI IS -Electronic Register of Inpatients Information System</w:t>
      </w:r>
    </w:p>
    <w:bookmarkEnd w:id="109"/>
    <w:bookmarkStart w:name="z409" w:id="110"/>
    <w:p>
      <w:pPr>
        <w:spacing w:after="0"/>
        <w:ind w:left="0"/>
        <w:jc w:val="both"/>
      </w:pPr>
      <w:r>
        <w:rPr>
          <w:rFonts w:ascii="Times New Roman"/>
          <w:b w:val="false"/>
          <w:i w:val="false"/>
          <w:color w:val="000000"/>
          <w:sz w:val="28"/>
        </w:rPr>
        <w:t>
      3. DISC - Discharged Inpatients Statistical Chart</w:t>
      </w:r>
    </w:p>
    <w:bookmarkEnd w:id="110"/>
    <w:bookmarkStart w:name="z410" w:id="111"/>
    <w:p>
      <w:pPr>
        <w:spacing w:after="0"/>
        <w:ind w:left="0"/>
        <w:jc w:val="both"/>
      </w:pPr>
      <w:r>
        <w:rPr>
          <w:rFonts w:ascii="Times New Roman"/>
          <w:b w:val="false"/>
          <w:i w:val="false"/>
          <w:color w:val="000000"/>
          <w:sz w:val="28"/>
        </w:rPr>
        <w:t>
      4. APR IS – Attached Patient Register Information System</w:t>
      </w:r>
    </w:p>
    <w:bookmarkEnd w:id="111"/>
    <w:bookmarkStart w:name="z411" w:id="112"/>
    <w:p>
      <w:pPr>
        <w:spacing w:after="0"/>
        <w:ind w:left="0"/>
        <w:jc w:val="both"/>
      </w:pPr>
      <w:r>
        <w:rPr>
          <w:rFonts w:ascii="Times New Roman"/>
          <w:b w:val="false"/>
          <w:i w:val="false"/>
          <w:color w:val="000000"/>
          <w:sz w:val="28"/>
        </w:rPr>
        <w:t>
      5. PHC - Primary Health Care</w:t>
      </w:r>
    </w:p>
    <w:bookmarkEnd w:id="112"/>
    <w:bookmarkStart w:name="z412" w:id="113"/>
    <w:p>
      <w:pPr>
        <w:spacing w:after="0"/>
        <w:ind w:left="0"/>
        <w:jc w:val="both"/>
      </w:pPr>
      <w:r>
        <w:rPr>
          <w:rFonts w:ascii="Times New Roman"/>
          <w:b w:val="false"/>
          <w:i w:val="false"/>
          <w:color w:val="000000"/>
          <w:sz w:val="28"/>
        </w:rPr>
        <w:t>
      6. OMR - Outpatient Medical Record</w:t>
      </w:r>
    </w:p>
    <w:bookmarkEnd w:id="113"/>
    <w:bookmarkStart w:name="z413" w:id="114"/>
    <w:p>
      <w:pPr>
        <w:spacing w:after="0"/>
        <w:ind w:left="0"/>
        <w:jc w:val="both"/>
      </w:pPr>
      <w:r>
        <w:rPr>
          <w:rFonts w:ascii="Times New Roman"/>
          <w:b w:val="false"/>
          <w:i w:val="false"/>
          <w:color w:val="000000"/>
          <w:sz w:val="28"/>
        </w:rPr>
        <w:t>
      7. MIS - Medical Information Systems</w:t>
      </w:r>
    </w:p>
    <w:bookmarkEnd w:id="114"/>
    <w:bookmarkStart w:name="z414" w:id="115"/>
    <w:p>
      <w:pPr>
        <w:spacing w:after="0"/>
        <w:ind w:left="0"/>
        <w:jc w:val="both"/>
      </w:pPr>
      <w:r>
        <w:rPr>
          <w:rFonts w:ascii="Times New Roman"/>
          <w:b w:val="false"/>
          <w:i w:val="false"/>
          <w:color w:val="000000"/>
          <w:sz w:val="28"/>
        </w:rPr>
        <w:t>
      8. DPER IS - Dispensary Patients Electronic Register Information System</w:t>
      </w:r>
    </w:p>
    <w:bookmarkEnd w:id="115"/>
    <w:bookmarkStart w:name="z415" w:id="116"/>
    <w:p>
      <w:pPr>
        <w:spacing w:after="0"/>
        <w:ind w:left="0"/>
        <w:jc w:val="both"/>
      </w:pPr>
      <w:r>
        <w:rPr>
          <w:rFonts w:ascii="Times New Roman"/>
          <w:b w:val="false"/>
          <w:i w:val="false"/>
          <w:color w:val="000000"/>
          <w:sz w:val="28"/>
        </w:rPr>
        <w:t>
      9. ИС RPWWFA IS - Register of Pregnant Women and Women of Fertile Age Information System</w:t>
      </w:r>
    </w:p>
    <w:bookmarkEnd w:id="116"/>
    <w:bookmarkStart w:name="z416" w:id="117"/>
    <w:p>
      <w:pPr>
        <w:spacing w:after="0"/>
        <w:ind w:left="0"/>
        <w:jc w:val="both"/>
      </w:pPr>
      <w:r>
        <w:rPr>
          <w:rFonts w:ascii="Times New Roman"/>
          <w:b w:val="false"/>
          <w:i w:val="false"/>
          <w:color w:val="000000"/>
          <w:sz w:val="28"/>
        </w:rPr>
        <w:t>
      10. IMCI programme - Integrated Management of Childhood Illnesses Programme</w:t>
      </w:r>
    </w:p>
    <w:bookmarkEnd w:id="117"/>
    <w:bookmarkStart w:name="z417" w:id="118"/>
    <w:p>
      <w:pPr>
        <w:spacing w:after="0"/>
        <w:ind w:left="0"/>
        <w:jc w:val="both"/>
      </w:pPr>
      <w:r>
        <w:rPr>
          <w:rFonts w:ascii="Times New Roman"/>
          <w:b w:val="false"/>
          <w:i w:val="false"/>
          <w:color w:val="000000"/>
          <w:sz w:val="28"/>
        </w:rPr>
        <w:t>
      11. AEI - Acute Enteric Infection</w:t>
      </w:r>
    </w:p>
    <w:bookmarkEnd w:id="118"/>
    <w:bookmarkStart w:name="z418" w:id="1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ARI - Acute Respiratory Infection </w:t>
      </w:r>
    </w:p>
    <w:bookmarkEnd w:id="119"/>
    <w:p>
      <w:pPr>
        <w:spacing w:after="0"/>
        <w:ind w:left="0"/>
        <w:jc w:val="both"/>
      </w:pPr>
      <w:r>
        <w:rPr>
          <w:rFonts w:ascii="Times New Roman"/>
          <w:b w:val="false"/>
          <w:i w:val="false"/>
          <w:color w:val="000000"/>
          <w:sz w:val="28"/>
        </w:rPr>
        <w:t>
      13. NRTP IS – National Registry of Tuberculosis Patients Information System</w:t>
      </w:r>
    </w:p>
    <w:bookmarkStart w:name="z420" w:id="120"/>
    <w:p>
      <w:pPr>
        <w:spacing w:after="0"/>
        <w:ind w:left="0"/>
        <w:jc w:val="both"/>
      </w:pPr>
      <w:r>
        <w:rPr>
          <w:rFonts w:ascii="Times New Roman"/>
          <w:b w:val="false"/>
          <w:i w:val="false"/>
          <w:color w:val="000000"/>
          <w:sz w:val="28"/>
        </w:rPr>
        <w:t>
      14. ERCP IS - Electronic Registry of Cancer Patients Information System</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conducting internal and external examination</w:t>
            </w:r>
            <w:r>
              <w:br/>
            </w:r>
            <w:r>
              <w:rPr>
                <w:rFonts w:ascii="Times New Roman"/>
                <w:b w:val="false"/>
                <w:i w:val="false"/>
                <w:color w:val="000000"/>
                <w:sz w:val="20"/>
              </w:rPr>
              <w:t>of the quality of medical services (care)</w:t>
            </w:r>
          </w:p>
        </w:tc>
      </w:tr>
    </w:tbl>
    <w:bookmarkStart w:name="z422" w:id="121"/>
    <w:p>
      <w:pPr>
        <w:spacing w:after="0"/>
        <w:ind w:left="0"/>
        <w:jc w:val="left"/>
      </w:pPr>
      <w:r>
        <w:rPr>
          <w:rFonts w:ascii="Times New Roman"/>
          <w:b/>
          <w:i w:val="false"/>
          <w:color w:val="000000"/>
        </w:rPr>
        <w:t xml:space="preserve"> External indicators</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indicators for inpatient care providers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rate of planned hospital admissions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inpatient deaths (excluding patients receiving oncological and palliative care) out of the total number of patients  who dropped out ( were discharged, died)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mortality rate in planned hospital admissions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post-operative inpatient deaths out of the number of patients who underwent elective surgery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maternal deaths, of which from: obstetric haemorrhage, gestosis, abortion, extragenital pathology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data of pregnant and postpartum women, maternal mortality record card,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the indicator tends towards zero for reasons that that are manageable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infant deaths, of which from: respiratory diseases, intestinal infections, congenital malformations, perinatal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 of live births, stillbirths and deaths of children under 5 years of age, Attached Patient Register information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for the reporting period compared to the previous period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Re-admission rate within a month for the same condition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hospital admissions for the same disease within a month of the number of admissions in the reporting period (excluding patients with cancer, haematological diseases and patients receiving substitution therapy)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 DISC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discrepancies between clinical and pathological diagnoses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Postmortem examination protocol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justified complaints about the quality of health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substantiated complaints per 1,000 patients treated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must not exceed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determining causes and factors of the occurrence and spread of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cases of nosocomial infections with established causes and factors of the occurrence and spread of nosocomial infections from the total number of registered cases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Minutes of case analysis at a meeting of the infection control committee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 tends towards 80 %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indicators for outpatient care providers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Maternal mortality rate, with deficiencies in the delivery of health services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maternal deaths among attached residents with confirmed defects (by experts) at PHC level, for the reporting period, per number of attached women of childbearing 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Maternal mortality record card (results of external examination)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 mortality rate, with deficiencies in the delivery of health services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deaths of children aged 0 to 1 year preventable at PHC level per number of children aged 0 to 1 year among the attached population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 of live births, stillbirths and deaths of children under 1 year of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Decrease in the indicator for the reporting period compared to the previous period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rate of neglected cases among newly diagnosed patients with pulmonary tuberculosis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first-time pulmonary tuberculosis cases detected in the attached population per first-time pulmonary tuberculosis cases detected among the attached population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Registry of Tuberculosis Patients Information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Decrease in the value of the indicator for the reporting period compared to the previous period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patients with first-time malignant neoplasms of stage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first-time detected patients with malignant neoplasms of stage 3-4 from the total number of first-time detected malignant neoplasms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Registry of Cancer Patients Information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for the reporting period compared to the previous period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justified complaints about the health services quality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substantiated complaints per 1,000 outpatient cases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must not exceed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Hospitalisation rate for cardiovascular complications (arterial hypertension, myocardial infarction, stroke)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inpatients treated for complications of cardiovascular diseases (arterial hypertension, myocardial infarction, stroke) per attached  population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for the reporting period compared to the previous period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Immunization coverage rate for children under 5 years of age against targeted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children in the target group covered by immunization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on an incremental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Reporting form № 4, approved by Order № 415 of the Minister of National Economy of 30 May 2015, logbook of preventive vaccinations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 tends towards 95% for the year (monthly at least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5-year survival rate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5-year survival of patients with malignant neoplasms in the total number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ЭРОБ</w:t>
            </w:r>
          </w:p>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at least 50%</w:t>
            </w:r>
          </w:p>
        </w:tc>
      </w:tr>
    </w:tbl>
    <w:bookmarkStart w:name="z423" w:id="122"/>
    <w:p>
      <w:pPr>
        <w:spacing w:after="0"/>
        <w:ind w:left="0"/>
        <w:jc w:val="both"/>
      </w:pPr>
      <w:r>
        <w:rPr>
          <w:rFonts w:ascii="Times New Roman"/>
          <w:b w:val="false"/>
          <w:i w:val="false"/>
          <w:color w:val="000000"/>
          <w:sz w:val="28"/>
        </w:rPr>
        <w:t>
      Note:</w:t>
      </w:r>
    </w:p>
    <w:bookmarkEnd w:id="122"/>
    <w:bookmarkStart w:name="z424" w:id="123"/>
    <w:p>
      <w:pPr>
        <w:spacing w:after="0"/>
        <w:ind w:left="0"/>
        <w:jc w:val="both"/>
      </w:pPr>
      <w:r>
        <w:rPr>
          <w:rFonts w:ascii="Times New Roman"/>
          <w:b w:val="false"/>
          <w:i w:val="false"/>
          <w:color w:val="000000"/>
          <w:sz w:val="28"/>
        </w:rPr>
        <w:t>
      1. IPMR – In-Patient Medical Record</w:t>
      </w:r>
    </w:p>
    <w:bookmarkEnd w:id="123"/>
    <w:bookmarkStart w:name="z425" w:id="124"/>
    <w:p>
      <w:pPr>
        <w:spacing w:after="0"/>
        <w:ind w:left="0"/>
        <w:jc w:val="both"/>
      </w:pPr>
      <w:r>
        <w:rPr>
          <w:rFonts w:ascii="Times New Roman"/>
          <w:b w:val="false"/>
          <w:i w:val="false"/>
          <w:color w:val="000000"/>
          <w:sz w:val="28"/>
        </w:rPr>
        <w:t>
      2. ERI IS – Electronic Register of In-Patients Information System</w:t>
      </w:r>
    </w:p>
    <w:bookmarkEnd w:id="124"/>
    <w:bookmarkStart w:name="z426" w:id="125"/>
    <w:p>
      <w:pPr>
        <w:spacing w:after="0"/>
        <w:ind w:left="0"/>
        <w:jc w:val="both"/>
      </w:pPr>
      <w:r>
        <w:rPr>
          <w:rFonts w:ascii="Times New Roman"/>
          <w:b w:val="false"/>
          <w:i w:val="false"/>
          <w:color w:val="000000"/>
          <w:sz w:val="28"/>
        </w:rPr>
        <w:t>
      3. DISC –</w:t>
      </w:r>
      <w:r>
        <w:rPr>
          <w:rFonts w:ascii="Times New Roman"/>
          <w:b w:val="false"/>
          <w:i w:val="false"/>
          <w:color w:val="000000"/>
          <w:sz w:val="28"/>
        </w:rPr>
        <w:t xml:space="preserve"> Discharged Inpatients Statistical Chart</w:t>
      </w:r>
    </w:p>
    <w:bookmarkEnd w:id="125"/>
    <w:p>
      <w:pPr>
        <w:spacing w:after="0"/>
        <w:ind w:left="0"/>
        <w:jc w:val="both"/>
      </w:pPr>
      <w:r>
        <w:rPr>
          <w:rFonts w:ascii="Times New Roman"/>
          <w:b w:val="false"/>
          <w:i w:val="false"/>
          <w:color w:val="000000"/>
          <w:sz w:val="28"/>
        </w:rPr>
        <w:t>
      4. PHC - Primary Health Care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conducting internal and external examination</w:t>
            </w:r>
            <w:r>
              <w:br/>
            </w:r>
            <w:r>
              <w:rPr>
                <w:rFonts w:ascii="Times New Roman"/>
                <w:b w:val="false"/>
                <w:i w:val="false"/>
                <w:color w:val="000000"/>
                <w:sz w:val="20"/>
              </w:rPr>
              <w:t>of the quality of medical services (care)</w:t>
            </w:r>
          </w:p>
        </w:tc>
      </w:tr>
    </w:tbl>
    <w:bookmarkStart w:name="z429" w:id="126"/>
    <w:p>
      <w:pPr>
        <w:spacing w:after="0"/>
        <w:ind w:left="0"/>
        <w:jc w:val="left"/>
      </w:pPr>
      <w:r>
        <w:rPr>
          <w:rFonts w:ascii="Times New Roman"/>
          <w:b/>
          <w:i w:val="false"/>
          <w:color w:val="000000"/>
        </w:rPr>
        <w:t xml:space="preserve"> Expert evaluation and (or) conclusion</w:t>
      </w:r>
    </w:p>
    <w:bookmarkEnd w:id="126"/>
    <w:bookmarkStart w:name="z430" w:id="127"/>
    <w:p>
      <w:pPr>
        <w:spacing w:after="0"/>
        <w:ind w:left="0"/>
        <w:jc w:val="both"/>
      </w:pPr>
      <w:r>
        <w:rPr>
          <w:rFonts w:ascii="Times New Roman"/>
          <w:b w:val="false"/>
          <w:i w:val="false"/>
          <w:color w:val="000000"/>
          <w:sz w:val="28"/>
        </w:rPr>
        <w:t>
      1. Surname, first name, patronymic (if any) of the person who conducted the examination, indicating specialization, position, academic degree</w:t>
      </w:r>
    </w:p>
    <w:bookmarkEnd w:id="127"/>
    <w:bookmarkStart w:name="z431" w:id="128"/>
    <w:p>
      <w:pPr>
        <w:spacing w:after="0"/>
        <w:ind w:left="0"/>
        <w:jc w:val="both"/>
      </w:pPr>
      <w:r>
        <w:rPr>
          <w:rFonts w:ascii="Times New Roman"/>
          <w:b w:val="false"/>
          <w:i w:val="false"/>
          <w:color w:val="000000"/>
          <w:sz w:val="28"/>
        </w:rPr>
        <w:t>
      2. Name of the health care entity (facility) where the examination was conducted</w:t>
      </w:r>
    </w:p>
    <w:bookmarkEnd w:id="128"/>
    <w:bookmarkStart w:name="z432" w:id="129"/>
    <w:p>
      <w:pPr>
        <w:spacing w:after="0"/>
        <w:ind w:left="0"/>
        <w:jc w:val="both"/>
      </w:pPr>
      <w:r>
        <w:rPr>
          <w:rFonts w:ascii="Times New Roman"/>
          <w:b w:val="false"/>
          <w:i w:val="false"/>
          <w:color w:val="000000"/>
          <w:sz w:val="28"/>
        </w:rPr>
        <w:t>
      3. Ground for the examination, or information on the customer</w:t>
      </w:r>
    </w:p>
    <w:bookmarkEnd w:id="129"/>
    <w:bookmarkStart w:name="z433" w:id="130"/>
    <w:p>
      <w:pPr>
        <w:spacing w:after="0"/>
        <w:ind w:left="0"/>
        <w:jc w:val="both"/>
      </w:pPr>
      <w:r>
        <w:rPr>
          <w:rFonts w:ascii="Times New Roman"/>
          <w:b w:val="false"/>
          <w:i w:val="false"/>
          <w:color w:val="000000"/>
          <w:sz w:val="28"/>
        </w:rPr>
        <w:t xml:space="preserve">
      4. Timing of the examination      </w:t>
      </w:r>
    </w:p>
    <w:bookmarkEnd w:id="130"/>
    <w:bookmarkStart w:name="z434" w:id="131"/>
    <w:p>
      <w:pPr>
        <w:spacing w:after="0"/>
        <w:ind w:left="0"/>
        <w:jc w:val="both"/>
      </w:pPr>
      <w:r>
        <w:rPr>
          <w:rFonts w:ascii="Times New Roman"/>
          <w:b w:val="false"/>
          <w:i w:val="false"/>
          <w:color w:val="000000"/>
          <w:sz w:val="28"/>
        </w:rPr>
        <w:t xml:space="preserve">
      5. Period of the examination </w:t>
      </w:r>
    </w:p>
    <w:bookmarkEnd w:id="131"/>
    <w:p>
      <w:pPr>
        <w:spacing w:after="0"/>
        <w:ind w:left="0"/>
        <w:jc w:val="both"/>
      </w:pPr>
      <w:r>
        <w:rPr>
          <w:rFonts w:ascii="Times New Roman"/>
          <w:b w:val="false"/>
          <w:i w:val="false"/>
          <w:color w:val="000000"/>
          <w:sz w:val="28"/>
        </w:rPr>
        <w:t>
      6. Subject matter of the examination</w:t>
      </w:r>
    </w:p>
    <w:bookmarkStart w:name="z436" w:id="132"/>
    <w:p>
      <w:pPr>
        <w:spacing w:after="0"/>
        <w:ind w:left="0"/>
        <w:jc w:val="both"/>
      </w:pPr>
      <w:r>
        <w:rPr>
          <w:rFonts w:ascii="Times New Roman"/>
          <w:b w:val="false"/>
          <w:i w:val="false"/>
          <w:color w:val="000000"/>
          <w:sz w:val="28"/>
        </w:rPr>
        <w:t xml:space="preserve">
      7. Information on the results of the expert examination, including identified violations and their nature </w:t>
      </w:r>
    </w:p>
    <w:bookmarkEnd w:id="132"/>
    <w:bookmarkStart w:name="z437" w:id="133"/>
    <w:p>
      <w:pPr>
        <w:spacing w:after="0"/>
        <w:ind w:left="0"/>
        <w:jc w:val="both"/>
      </w:pPr>
      <w:r>
        <w:rPr>
          <w:rFonts w:ascii="Times New Roman"/>
          <w:b w:val="false"/>
          <w:i w:val="false"/>
          <w:color w:val="000000"/>
          <w:sz w:val="28"/>
        </w:rPr>
        <w:t>
      8. Conclusions.</w:t>
      </w:r>
    </w:p>
    <w:bookmarkEnd w:id="133"/>
    <w:bookmarkStart w:name="z438" w:id="134"/>
    <w:p>
      <w:pPr>
        <w:spacing w:after="0"/>
        <w:ind w:left="0"/>
        <w:jc w:val="both"/>
      </w:pPr>
      <w:r>
        <w:rPr>
          <w:rFonts w:ascii="Times New Roman"/>
          <w:b w:val="false"/>
          <w:i w:val="false"/>
          <w:color w:val="000000"/>
          <w:sz w:val="28"/>
        </w:rPr>
        <w:t>
      9. Recommendations</w:t>
      </w:r>
    </w:p>
    <w:bookmarkEnd w:id="134"/>
    <w:bookmarkStart w:name="z439" w:id="135"/>
    <w:p>
      <w:pPr>
        <w:spacing w:after="0"/>
        <w:ind w:left="0"/>
        <w:jc w:val="both"/>
      </w:pPr>
      <w:r>
        <w:rPr>
          <w:rFonts w:ascii="Times New Roman"/>
          <w:b w:val="false"/>
          <w:i w:val="false"/>
          <w:color w:val="000000"/>
          <w:sz w:val="28"/>
        </w:rPr>
        <w:t>
      ________________________________________________ ________________________</w:t>
      </w:r>
    </w:p>
    <w:bookmarkEnd w:id="135"/>
    <w:bookmarkStart w:name="z440" w:id="136"/>
    <w:p>
      <w:pPr>
        <w:spacing w:after="0"/>
        <w:ind w:left="0"/>
        <w:jc w:val="both"/>
      </w:pPr>
      <w:r>
        <w:rPr>
          <w:rFonts w:ascii="Times New Roman"/>
          <w:b w:val="false"/>
          <w:i w:val="false"/>
          <w:color w:val="000000"/>
          <w:sz w:val="28"/>
        </w:rPr>
        <w:t xml:space="preserve">
       Surname, first name, patronymic (if any) of the person who conducted the examination </w:t>
      </w:r>
    </w:p>
    <w:bookmarkEnd w:id="136"/>
    <w:bookmarkStart w:name="z441" w:id="137"/>
    <w:p>
      <w:pPr>
        <w:spacing w:after="0"/>
        <w:ind w:left="0"/>
        <w:jc w:val="both"/>
      </w:pPr>
      <w:r>
        <w:rPr>
          <w:rFonts w:ascii="Times New Roman"/>
          <w:b w:val="false"/>
          <w:i w:val="false"/>
          <w:color w:val="000000"/>
          <w:sz w:val="28"/>
        </w:rPr>
        <w:t xml:space="preserve">
       Date “____” ___________ 20 ___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organizing</w:t>
            </w:r>
            <w:r>
              <w:br/>
            </w:r>
            <w:r>
              <w:rPr>
                <w:rFonts w:ascii="Times New Roman"/>
                <w:b w:val="false"/>
                <w:i w:val="false"/>
                <w:color w:val="000000"/>
                <w:sz w:val="20"/>
              </w:rPr>
              <w:t>and conducting internal and external examination</w:t>
            </w:r>
            <w:r>
              <w:br/>
            </w:r>
            <w:r>
              <w:rPr>
                <w:rFonts w:ascii="Times New Roman"/>
                <w:b w:val="false"/>
                <w:i w:val="false"/>
                <w:color w:val="000000"/>
                <w:sz w:val="20"/>
              </w:rPr>
              <w:t xml:space="preserve">of the quality of medical services (care) </w:t>
            </w:r>
          </w:p>
        </w:tc>
      </w:tr>
    </w:tbl>
    <w:bookmarkStart w:name="z443" w:id="138"/>
    <w:p>
      <w:pPr>
        <w:spacing w:after="0"/>
        <w:ind w:left="0"/>
        <w:jc w:val="left"/>
      </w:pPr>
      <w:r>
        <w:rPr>
          <w:rFonts w:ascii="Times New Roman"/>
          <w:b/>
          <w:i w:val="false"/>
          <w:color w:val="000000"/>
        </w:rPr>
        <w:t xml:space="preserve"> Conclusion of the examination of the state body on the quality of medical services (care) provided </w:t>
      </w:r>
    </w:p>
    <w:bookmarkEnd w:id="138"/>
    <w:bookmarkStart w:name="z444" w:id="139"/>
    <w:p>
      <w:pPr>
        <w:spacing w:after="0"/>
        <w:ind w:left="0"/>
        <w:jc w:val="both"/>
      </w:pPr>
      <w:r>
        <w:rPr>
          <w:rFonts w:ascii="Times New Roman"/>
          <w:b w:val="false"/>
          <w:i w:val="false"/>
          <w:color w:val="000000"/>
          <w:sz w:val="28"/>
        </w:rPr>
        <w:t>
      1. Report on the inspection results №_____;</w:t>
      </w:r>
    </w:p>
    <w:bookmarkEnd w:id="139"/>
    <w:bookmarkStart w:name="z445" w:id="140"/>
    <w:p>
      <w:pPr>
        <w:spacing w:after="0"/>
        <w:ind w:left="0"/>
        <w:jc w:val="both"/>
      </w:pPr>
      <w:r>
        <w:rPr>
          <w:rFonts w:ascii="Times New Roman"/>
          <w:b w:val="false"/>
          <w:i w:val="false"/>
          <w:color w:val="000000"/>
          <w:sz w:val="28"/>
        </w:rPr>
        <w:t>
      2. Date, time and place where the report was drawn;</w:t>
      </w:r>
    </w:p>
    <w:bookmarkEnd w:id="140"/>
    <w:bookmarkStart w:name="z446" w:id="141"/>
    <w:p>
      <w:pPr>
        <w:spacing w:after="0"/>
        <w:ind w:left="0"/>
        <w:jc w:val="both"/>
      </w:pPr>
      <w:r>
        <w:rPr>
          <w:rFonts w:ascii="Times New Roman"/>
          <w:b w:val="false"/>
          <w:i w:val="false"/>
          <w:color w:val="000000"/>
          <w:sz w:val="28"/>
        </w:rPr>
        <w:t>
      3. Name of the control and supervision body;</w:t>
      </w:r>
    </w:p>
    <w:bookmarkEnd w:id="141"/>
    <w:bookmarkStart w:name="z447" w:id="142"/>
    <w:p>
      <w:pPr>
        <w:spacing w:after="0"/>
        <w:ind w:left="0"/>
        <w:jc w:val="both"/>
      </w:pPr>
      <w:r>
        <w:rPr>
          <w:rFonts w:ascii="Times New Roman"/>
          <w:b w:val="false"/>
          <w:i w:val="false"/>
          <w:color w:val="000000"/>
          <w:sz w:val="28"/>
        </w:rPr>
        <w:t>
      4. Date and number of the act on appointment of the inspection, upon which the inspection was conducted;</w:t>
      </w:r>
    </w:p>
    <w:bookmarkEnd w:id="142"/>
    <w:bookmarkStart w:name="z448" w:id="143"/>
    <w:p>
      <w:pPr>
        <w:spacing w:after="0"/>
        <w:ind w:left="0"/>
        <w:jc w:val="both"/>
      </w:pPr>
      <w:r>
        <w:rPr>
          <w:rFonts w:ascii="Times New Roman"/>
          <w:b w:val="false"/>
          <w:i w:val="false"/>
          <w:color w:val="000000"/>
          <w:sz w:val="28"/>
        </w:rPr>
        <w:t>
      5. Surname, first name, patronymic (if it is indicated in the identity document) and position of the person (persons) who conducted the inspection;</w:t>
      </w:r>
    </w:p>
    <w:bookmarkEnd w:id="143"/>
    <w:bookmarkStart w:name="z449" w:id="144"/>
    <w:p>
      <w:pPr>
        <w:spacing w:after="0"/>
        <w:ind w:left="0"/>
        <w:jc w:val="both"/>
      </w:pPr>
      <w:r>
        <w:rPr>
          <w:rFonts w:ascii="Times New Roman"/>
          <w:b w:val="false"/>
          <w:i w:val="false"/>
          <w:color w:val="000000"/>
          <w:sz w:val="28"/>
        </w:rPr>
        <w:t>
      6. Information about specialists, consultants and experts involved for inspection;</w:t>
      </w:r>
    </w:p>
    <w:bookmarkEnd w:id="144"/>
    <w:bookmarkStart w:name="z451" w:id="145"/>
    <w:p>
      <w:pPr>
        <w:spacing w:after="0"/>
        <w:ind w:left="0"/>
        <w:jc w:val="both"/>
      </w:pPr>
      <w:r>
        <w:rPr>
          <w:rFonts w:ascii="Times New Roman"/>
          <w:b w:val="false"/>
          <w:i w:val="false"/>
          <w:color w:val="000000"/>
          <w:sz w:val="28"/>
        </w:rPr>
        <w:t>
      7. Name or surname, first name, patronymic (if it is indicated in the identity document) of the subject of control and supervision, position of the representative of the individual or legal entity who was present during the inspection; Name of the inspected object/ location address of the inspected object, individual identification number/business identification number, area of the territory;</w:t>
      </w:r>
    </w:p>
    <w:bookmarkEnd w:id="145"/>
    <w:bookmarkStart w:name="z452" w:id="146"/>
    <w:p>
      <w:pPr>
        <w:spacing w:after="0"/>
        <w:ind w:left="0"/>
        <w:jc w:val="both"/>
      </w:pPr>
      <w:r>
        <w:rPr>
          <w:rFonts w:ascii="Times New Roman"/>
          <w:b w:val="false"/>
          <w:i w:val="false"/>
          <w:color w:val="000000"/>
          <w:sz w:val="28"/>
        </w:rPr>
        <w:t>
      8. Subject of the assigned inspection</w:t>
      </w:r>
    </w:p>
    <w:bookmarkEnd w:id="146"/>
    <w:bookmarkStart w:name="z453" w:id="147"/>
    <w:p>
      <w:pPr>
        <w:spacing w:after="0"/>
        <w:ind w:left="0"/>
        <w:jc w:val="both"/>
      </w:pPr>
      <w:r>
        <w:rPr>
          <w:rFonts w:ascii="Times New Roman"/>
          <w:b w:val="false"/>
          <w:i w:val="false"/>
          <w:color w:val="000000"/>
          <w:sz w:val="28"/>
        </w:rPr>
        <w:t>
      9. Period of inspection from “___”____20____ to “___”_____20____</w:t>
      </w:r>
    </w:p>
    <w:bookmarkEnd w:id="147"/>
    <w:bookmarkStart w:name="z454" w:id="148"/>
    <w:p>
      <w:pPr>
        <w:spacing w:after="0"/>
        <w:ind w:left="0"/>
        <w:jc w:val="both"/>
      </w:pPr>
      <w:r>
        <w:rPr>
          <w:rFonts w:ascii="Times New Roman"/>
          <w:b w:val="false"/>
          <w:i w:val="false"/>
          <w:color w:val="000000"/>
          <w:sz w:val="28"/>
        </w:rPr>
        <w:t>
      10. Legal grounds for conducting an inspection, including regulatory legal acts, mandatory requirements that are subject to inspection</w:t>
      </w:r>
    </w:p>
    <w:bookmarkEnd w:id="148"/>
    <w:bookmarkStart w:name="z455" w:id="149"/>
    <w:p>
      <w:pPr>
        <w:spacing w:after="0"/>
        <w:ind w:left="0"/>
        <w:jc w:val="both"/>
      </w:pPr>
      <w:r>
        <w:rPr>
          <w:rFonts w:ascii="Times New Roman"/>
          <w:b w:val="false"/>
          <w:i w:val="false"/>
          <w:color w:val="000000"/>
          <w:sz w:val="28"/>
        </w:rPr>
        <w:t>
      11. The period under examination from “___”_______20____ to “___”_______20____</w:t>
      </w:r>
    </w:p>
    <w:bookmarkEnd w:id="149"/>
    <w:bookmarkStart w:name="z456" w:id="150"/>
    <w:p>
      <w:pPr>
        <w:spacing w:after="0"/>
        <w:ind w:left="0"/>
        <w:jc w:val="both"/>
      </w:pPr>
      <w:r>
        <w:rPr>
          <w:rFonts w:ascii="Times New Roman"/>
          <w:b w:val="false"/>
          <w:i w:val="false"/>
          <w:color w:val="000000"/>
          <w:sz w:val="28"/>
        </w:rPr>
        <w:t>
      12. Items of requirements under examination (checklist in the state control over the medical services quality in relation to subjects (objects);</w:t>
      </w:r>
    </w:p>
    <w:bookmarkEnd w:id="150"/>
    <w:bookmarkStart w:name="z457" w:id="151"/>
    <w:p>
      <w:pPr>
        <w:spacing w:after="0"/>
        <w:ind w:left="0"/>
        <w:jc w:val="both"/>
      </w:pPr>
      <w:r>
        <w:rPr>
          <w:rFonts w:ascii="Times New Roman"/>
          <w:b w:val="false"/>
          <w:i w:val="false"/>
          <w:color w:val="000000"/>
          <w:sz w:val="28"/>
        </w:rPr>
        <w:t>
      13. List of materials, medical documentation that is the subject of the examination;</w:t>
      </w:r>
    </w:p>
    <w:bookmarkEnd w:id="151"/>
    <w:bookmarkStart w:name="z458" w:id="152"/>
    <w:p>
      <w:pPr>
        <w:spacing w:after="0"/>
        <w:ind w:left="0"/>
        <w:jc w:val="both"/>
      </w:pPr>
      <w:r>
        <w:rPr>
          <w:rFonts w:ascii="Times New Roman"/>
          <w:b w:val="false"/>
          <w:i w:val="false"/>
          <w:color w:val="000000"/>
          <w:sz w:val="28"/>
        </w:rPr>
        <w:t>
      14. Information about the inspection results, including the violations identified and their nature;</w:t>
      </w:r>
    </w:p>
    <w:bookmarkEnd w:id="152"/>
    <w:bookmarkStart w:name="z459" w:id="153"/>
    <w:p>
      <w:pPr>
        <w:spacing w:after="0"/>
        <w:ind w:left="0"/>
        <w:jc w:val="both"/>
      </w:pPr>
      <w:r>
        <w:rPr>
          <w:rFonts w:ascii="Times New Roman"/>
          <w:b w:val="false"/>
          <w:i w:val="false"/>
          <w:color w:val="000000"/>
          <w:sz w:val="28"/>
        </w:rPr>
        <w:t>
      15. Conclusions with reference to regulatory legal acts</w:t>
      </w:r>
    </w:p>
    <w:bookmarkEnd w:id="153"/>
    <w:bookmarkStart w:name="z460" w:id="154"/>
    <w:p>
      <w:pPr>
        <w:spacing w:after="0"/>
        <w:ind w:left="0"/>
        <w:jc w:val="both"/>
      </w:pPr>
      <w:r>
        <w:rPr>
          <w:rFonts w:ascii="Times New Roman"/>
          <w:b w:val="false"/>
          <w:i w:val="false"/>
          <w:color w:val="000000"/>
          <w:sz w:val="28"/>
        </w:rPr>
        <w:t>
      16. Recommendations</w:t>
      </w:r>
    </w:p>
    <w:bookmarkEnd w:id="154"/>
    <w:bookmarkStart w:name="z461" w:id="155"/>
    <w:p>
      <w:pPr>
        <w:spacing w:after="0"/>
        <w:ind w:left="0"/>
        <w:jc w:val="both"/>
      </w:pPr>
      <w:r>
        <w:rPr>
          <w:rFonts w:ascii="Times New Roman"/>
          <w:b w:val="false"/>
          <w:i w:val="false"/>
          <w:color w:val="000000"/>
          <w:sz w:val="28"/>
        </w:rPr>
        <w:t>
      17. Name of the checklist and items of the requirements on which violations were identified;</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identified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Items of requirements and name of the checklist on which violations were identified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and instructions for elimination of identified violations, deadlines for their elimination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156"/>
    <w:p>
      <w:pPr>
        <w:spacing w:after="0"/>
        <w:ind w:left="0"/>
        <w:jc w:val="both"/>
      </w:pPr>
      <w:r>
        <w:rPr>
          <w:rFonts w:ascii="Times New Roman"/>
          <w:b w:val="false"/>
          <w:i w:val="false"/>
          <w:color w:val="000000"/>
          <w:sz w:val="28"/>
        </w:rPr>
        <w:t>
      18. The act on the inspection results was sent to the state bodies for taking response measures within the competence;</w:t>
      </w:r>
    </w:p>
    <w:bookmarkEnd w:id="156"/>
    <w:bookmarkStart w:name="z463" w:id="157"/>
    <w:p>
      <w:pPr>
        <w:spacing w:after="0"/>
        <w:ind w:left="0"/>
        <w:jc w:val="both"/>
      </w:pPr>
      <w:r>
        <w:rPr>
          <w:rFonts w:ascii="Times New Roman"/>
          <w:b w:val="false"/>
          <w:i w:val="false"/>
          <w:color w:val="000000"/>
          <w:sz w:val="28"/>
        </w:rPr>
        <w:t>
      19. Signature of the official (persons) who conducted the inspection;</w:t>
      </w:r>
    </w:p>
    <w:bookmarkEnd w:id="157"/>
    <w:bookmarkStart w:name="z464" w:id="158"/>
    <w:p>
      <w:pPr>
        <w:spacing w:after="0"/>
        <w:ind w:left="0"/>
        <w:jc w:val="both"/>
      </w:pPr>
      <w:r>
        <w:rPr>
          <w:rFonts w:ascii="Times New Roman"/>
          <w:b w:val="false"/>
          <w:i w:val="false"/>
          <w:color w:val="000000"/>
          <w:sz w:val="28"/>
        </w:rPr>
        <w:t>
      20. Information about familiarization or refusal to familiarize with the report on the inspection results of representatives of the subject of control and supervision, the position of the representative of an individual or legal entity, name or surname, first name, patronymic (if it is indicated in the identity document), as well as persons who were present during the inspection, their signatures or refusal to sign;</w:t>
      </w:r>
    </w:p>
    <w:bookmarkEnd w:id="158"/>
    <w:bookmarkStart w:name="z465" w:id="159"/>
    <w:p>
      <w:pPr>
        <w:spacing w:after="0"/>
        <w:ind w:left="0"/>
        <w:jc w:val="both"/>
      </w:pPr>
      <w:r>
        <w:rPr>
          <w:rFonts w:ascii="Times New Roman"/>
          <w:b w:val="false"/>
          <w:i w:val="false"/>
          <w:color w:val="000000"/>
          <w:sz w:val="28"/>
        </w:rPr>
        <w:t xml:space="preserve">
      21. Comments and (or) objections on the inspection results </w:t>
      </w:r>
    </w:p>
    <w:bookmarkEnd w:id="159"/>
    <w:bookmarkStart w:name="z466" w:id="160"/>
    <w:p>
      <w:pPr>
        <w:spacing w:after="0"/>
        <w:ind w:left="0"/>
        <w:jc w:val="both"/>
      </w:pPr>
      <w:r>
        <w:rPr>
          <w:rFonts w:ascii="Times New Roman"/>
          <w:b w:val="false"/>
          <w:i w:val="false"/>
          <w:color w:val="000000"/>
          <w:sz w:val="28"/>
        </w:rPr>
        <w:t>
      22. Date of familiarization “____” ___________20__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KR DSM-230/2020 </w:t>
            </w:r>
            <w:r>
              <w:br/>
            </w:r>
            <w:r>
              <w:rPr>
                <w:rFonts w:ascii="Times New Roman"/>
                <w:b w:val="false"/>
                <w:i w:val="false"/>
                <w:color w:val="000000"/>
                <w:sz w:val="20"/>
              </w:rPr>
              <w:t>dated December 3, 2020</w:t>
            </w:r>
          </w:p>
        </w:tc>
      </w:tr>
    </w:tbl>
    <w:p>
      <w:pPr>
        <w:spacing w:after="0"/>
        <w:ind w:left="0"/>
        <w:jc w:val="left"/>
      </w:pPr>
      <w:r>
        <w:rPr>
          <w:rFonts w:ascii="Times New Roman"/>
          <w:b/>
          <w:i w:val="false"/>
          <w:color w:val="000000"/>
        </w:rPr>
        <w:t xml:space="preserve"> List of certain repealed orders in the field of healthcare</w:t>
      </w:r>
    </w:p>
    <w:p>
      <w:pPr>
        <w:spacing w:after="0"/>
        <w:ind w:left="0"/>
        <w:jc w:val="both"/>
      </w:pPr>
      <w:r>
        <w:rPr>
          <w:rFonts w:ascii="Times New Roman"/>
          <w:b w:val="false"/>
          <w:i w:val="false"/>
          <w:color w:val="000000"/>
          <w:sz w:val="28"/>
        </w:rPr>
        <w:t>
      1) Order of the Minister of Healthcare and Social Development of the Republic of Kazakhstan № 173 of 27 March 2015 "On Approval of the Rules for Organising and Conducting Internal and External Quality Assurance Reviews of Healthcare services" (registered with the Register of State Registration of Regulatory Legal Acts under № 10880, published on 1 October 2015 in the newspaper "Kazakhstanskaya Pravda" № 187);</w:t>
      </w:r>
    </w:p>
    <w:p>
      <w:pPr>
        <w:spacing w:after="0"/>
        <w:ind w:left="0"/>
        <w:jc w:val="both"/>
      </w:pPr>
      <w:r>
        <w:rPr>
          <w:rFonts w:ascii="Times New Roman"/>
          <w:b w:val="false"/>
          <w:i w:val="false"/>
          <w:color w:val="000000"/>
          <w:sz w:val="28"/>
        </w:rPr>
        <w:t>
      2) Order № 568 of the Minister of Healthcare and Social Development of the Republic of Kazakhstan of 28 June 2016 "On Amendments to Order № 173 of the Minister of Healthcare and Social Development of the Republic of Kazakhstan of 27 March 2015 "On Approval of the Rules for Organising and Conducting Internal and External Quality Assurance Reviews of Healthcare services" (registered with the Register of State Registration of Regulatory Legal Acts under № 14026, published in the Control Reference Bank of Regulatory Legal Acts of the Republic of Kazakhstan on 15 September 2016 in electronic form);</w:t>
      </w:r>
    </w:p>
    <w:p>
      <w:pPr>
        <w:spacing w:after="0"/>
        <w:ind w:left="0"/>
        <w:jc w:val="both"/>
      </w:pPr>
      <w:r>
        <w:rPr>
          <w:rFonts w:ascii="Times New Roman"/>
          <w:b w:val="false"/>
          <w:i w:val="false"/>
          <w:color w:val="000000"/>
          <w:sz w:val="28"/>
        </w:rPr>
        <w:t>
      3) Order of the Minister of Healthcare of the Republic of Kazakhstan № KR DSM-3 of 11 February 2019 “On Amendments and Additions to Order of the Minister of Healthcare and Social Development of the Republic of Kazakhstan № 173 of 27 March 2015 “On Approval of the Rules for the Organisation and Conduct of Internal and External Quality Reviews of Healthcare Services” (registered with the Register o of State Registration of Regulatory Legal Acts under № 18300, published in the Control Reference Bank of Regulatory Legal Acts of the Republic of Kazakhstan in electronic form on 15 February 2019).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