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4f044" w14:textId="f54f0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and conditions for surgical sterilisation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Healthcare of the Republic of Kazakhstan No. KR DSM-185/2020 dated November 6, 2020. Registered with the Ministry of Justice of the Republic of Kazakhstan on November 10, 2020 under No. 21615</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In pursuance of paragraph 3 of Article 151 of the Code of the Republic of Kazakhstan of July 7, 2020 “On Public Health and the Health Care System”, </w:t>
      </w:r>
      <w:r>
        <w:rPr>
          <w:rFonts w:ascii="Times New Roman"/>
          <w:b/>
          <w:i w:val="false"/>
          <w:color w:val="000000"/>
          <w:sz w:val="28"/>
        </w:rPr>
        <w:t xml:space="preserve">I </w:t>
      </w:r>
      <w:r>
        <w:rPr>
          <w:rFonts w:ascii="Times New Roman"/>
          <w:b/>
          <w:i w:val="false"/>
          <w:color w:val="000000"/>
          <w:sz w:val="28"/>
        </w:rPr>
        <w:t>HEREBY ORDER</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1. That the rules and conditions for surgical sterilisation shall be approved in obedience to the Annex hereto.</w:t>
      </w:r>
    </w:p>
    <w:bookmarkEnd w:id="0"/>
    <w:bookmarkStart w:name="z2" w:id="1"/>
    <w:p>
      <w:pPr>
        <w:spacing w:after="0"/>
        <w:ind w:left="0"/>
        <w:jc w:val="both"/>
      </w:pPr>
      <w:r>
        <w:rPr>
          <w:rFonts w:ascii="Times New Roman"/>
          <w:b w:val="false"/>
          <w:i w:val="false"/>
          <w:color w:val="000000"/>
          <w:sz w:val="28"/>
        </w:rPr>
        <w:t>
      2. That Order of Acting Minister of Healthcare of the Republic of Kazakhstan No. 625 dated October 30, 2009 “On Approval of the Rules of Surgical Sterilization of Citizens” (registered with the Ministry of Justice of the Republic of Kazakhstan dated November 24, 2009 under No. 5881, published in the Collection of Acts of Central Executive and Other Central State Bodies of the Republic of Kazakhstan, 2010, No. 1).</w:t>
      </w:r>
    </w:p>
    <w:bookmarkEnd w:id="1"/>
    <w:bookmarkStart w:name="z3" w:id="2"/>
    <w:p>
      <w:pPr>
        <w:spacing w:after="0"/>
        <w:ind w:left="0"/>
        <w:jc w:val="both"/>
      </w:pPr>
      <w:r>
        <w:rPr>
          <w:rFonts w:ascii="Times New Roman"/>
          <w:b w:val="false"/>
          <w:i w:val="false"/>
          <w:color w:val="000000"/>
          <w:sz w:val="28"/>
        </w:rPr>
        <w:t>
      3. That in the order established by the legislation, the Department of Mother and Child Health Care of the Ministry of Healthcare of the Republic of Kazakhstan shall:</w:t>
      </w:r>
    </w:p>
    <w:bookmarkEnd w:id="2"/>
    <w:bookmarkStart w:name="z4" w:id="3"/>
    <w:p>
      <w:pPr>
        <w:spacing w:after="0"/>
        <w:ind w:left="0"/>
        <w:jc w:val="both"/>
      </w:pPr>
      <w:r>
        <w:rPr>
          <w:rFonts w:ascii="Times New Roman"/>
          <w:b w:val="false"/>
          <w:i w:val="false"/>
          <w:color w:val="000000"/>
          <w:sz w:val="28"/>
        </w:rPr>
        <w:t>
      1) provide the state registration hereof with the Ministry of Justice of the Republic of Kazakhstan;</w:t>
      </w:r>
    </w:p>
    <w:bookmarkEnd w:id="3"/>
    <w:bookmarkStart w:name="z5" w:id="4"/>
    <w:p>
      <w:pPr>
        <w:spacing w:after="0"/>
        <w:ind w:left="0"/>
        <w:jc w:val="both"/>
      </w:pPr>
      <w:r>
        <w:rPr>
          <w:rFonts w:ascii="Times New Roman"/>
          <w:b w:val="false"/>
          <w:i w:val="false"/>
          <w:color w:val="000000"/>
          <w:sz w:val="28"/>
        </w:rPr>
        <w:t>
      2) post this order on the website of the Ministry of Healthcare of the Republic of Kazakhstan after its official publication;</w:t>
      </w:r>
    </w:p>
    <w:bookmarkEnd w:id="4"/>
    <w:bookmarkStart w:name="z6" w:id="5"/>
    <w:p>
      <w:pPr>
        <w:spacing w:after="0"/>
        <w:ind w:left="0"/>
        <w:jc w:val="both"/>
      </w:pPr>
      <w:r>
        <w:rPr>
          <w:rFonts w:ascii="Times New Roman"/>
          <w:b w:val="false"/>
          <w:i w:val="false"/>
          <w:color w:val="000000"/>
          <w:sz w:val="28"/>
        </w:rPr>
        <w:t>
      3) within ten working days after the state registration hereof, submit to the Legal Department of the Ministry of Healthcare of the Republic of Kazakhstan the information on the implementation of activities under sub-paragraphs 1) and 2) of this paragraph.</w:t>
      </w:r>
    </w:p>
    <w:bookmarkEnd w:id="5"/>
    <w:bookmarkStart w:name="z7" w:id="6"/>
    <w:p>
      <w:pPr>
        <w:spacing w:after="0"/>
        <w:ind w:left="0"/>
        <w:jc w:val="both"/>
      </w:pPr>
      <w:r>
        <w:rPr>
          <w:rFonts w:ascii="Times New Roman"/>
          <w:b w:val="false"/>
          <w:i w:val="false"/>
          <w:color w:val="000000"/>
          <w:sz w:val="28"/>
        </w:rPr>
        <w:t>
      4. That the supervision of execution hereof shall be assigned to the supervising Vice-Minister of Healthcare of the Republic of Kazakhstan.</w:t>
      </w:r>
    </w:p>
    <w:bookmarkEnd w:id="6"/>
    <w:bookmarkStart w:name="z8" w:id="7"/>
    <w:p>
      <w:pPr>
        <w:spacing w:after="0"/>
        <w:ind w:left="0"/>
        <w:jc w:val="both"/>
      </w:pPr>
      <w:r>
        <w:rPr>
          <w:rFonts w:ascii="Times New Roman"/>
          <w:b w:val="false"/>
          <w:i w:val="false"/>
          <w:color w:val="000000"/>
          <w:sz w:val="28"/>
        </w:rPr>
        <w:t>
      5. That this order shall be put into effect ten calendar days after the date of its first official publication.</w:t>
      </w:r>
    </w:p>
    <w:bookmarkEnd w:id="7"/>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Healthcare</w:t>
            </w:r>
            <w:r>
              <w:br/>
            </w:r>
            <w:r>
              <w:rPr>
                <w:rFonts w:ascii="Times New Roman"/>
                <w:b w:val="false"/>
                <w:i/>
                <w:color w:val="000000"/>
                <w:sz w:val="20"/>
              </w:rPr>
              <w:t xml:space="preserve">of the Republic of Kazakhstan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Tsoy</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to order</w:t>
            </w:r>
            <w:r>
              <w:br/>
            </w:r>
            <w:r>
              <w:rPr>
                <w:rFonts w:ascii="Times New Roman"/>
                <w:b w:val="false"/>
                <w:i w:val="false"/>
                <w:color w:val="000000"/>
                <w:sz w:val="20"/>
              </w:rPr>
              <w:t>of the Minister of Healthcare</w:t>
            </w:r>
            <w:r>
              <w:br/>
            </w:r>
            <w:r>
              <w:rPr>
                <w:rFonts w:ascii="Times New Roman"/>
                <w:b w:val="false"/>
                <w:i w:val="false"/>
                <w:color w:val="000000"/>
                <w:sz w:val="20"/>
              </w:rPr>
              <w:t>of the Republic of Kazakhstan</w:t>
            </w:r>
            <w:r>
              <w:br/>
            </w:r>
            <w:r>
              <w:rPr>
                <w:rFonts w:ascii="Times New Roman"/>
                <w:b w:val="false"/>
                <w:i w:val="false"/>
                <w:color w:val="000000"/>
                <w:sz w:val="20"/>
              </w:rPr>
              <w:t xml:space="preserve">No. KR DSM-185/2020 </w:t>
            </w:r>
            <w:r>
              <w:br/>
            </w:r>
            <w:r>
              <w:rPr>
                <w:rFonts w:ascii="Times New Roman"/>
                <w:b w:val="false"/>
                <w:i w:val="false"/>
                <w:color w:val="000000"/>
                <w:sz w:val="20"/>
              </w:rPr>
              <w:t>dated November 6, 2020</w:t>
            </w:r>
          </w:p>
        </w:tc>
      </w:tr>
    </w:tbl>
    <w:bookmarkStart w:name="z10" w:id="8"/>
    <w:p>
      <w:pPr>
        <w:spacing w:after="0"/>
        <w:ind w:left="0"/>
        <w:jc w:val="left"/>
      </w:pPr>
      <w:r>
        <w:rPr>
          <w:rFonts w:ascii="Times New Roman"/>
          <w:b/>
          <w:i w:val="false"/>
          <w:color w:val="000000"/>
        </w:rPr>
        <w:t xml:space="preserve"> Rules and conditions for surgical sterilization</w:t>
      </w:r>
      <w:r>
        <w:br/>
      </w:r>
    </w:p>
    <w:bookmarkEnd w:id="8"/>
    <w:bookmarkStart w:name="z11" w:id="9"/>
    <w:p>
      <w:pPr>
        <w:spacing w:after="0"/>
        <w:ind w:left="0"/>
        <w:jc w:val="left"/>
      </w:pPr>
      <w:r>
        <w:rPr>
          <w:rFonts w:ascii="Times New Roman"/>
          <w:b/>
          <w:i w:val="false"/>
          <w:color w:val="000000"/>
        </w:rPr>
        <w:t xml:space="preserve"> Chapter 1. General provisions </w:t>
      </w:r>
    </w:p>
    <w:bookmarkEnd w:id="9"/>
    <w:bookmarkStart w:name="z12" w:id="10"/>
    <w:p>
      <w:pPr>
        <w:spacing w:after="0"/>
        <w:ind w:left="0"/>
        <w:jc w:val="both"/>
      </w:pPr>
      <w:r>
        <w:rPr>
          <w:rFonts w:ascii="Times New Roman"/>
          <w:b w:val="false"/>
          <w:i w:val="false"/>
          <w:color w:val="000000"/>
          <w:sz w:val="28"/>
        </w:rPr>
        <w:t>
      1. These Rules for surgical sterilisation have been developed in accordance with paragraph 3 of Article 151 of the Code of the Republic of Kazakhstan of July 7, 2020 “On Public Health and the Healthcare System” (hereinafter the Code) and determine the procedure and conditions for surgical sterilisation by healthcare entities licensed to carry out medical activities (hereinafter healthcare entities).</w:t>
      </w:r>
    </w:p>
    <w:bookmarkEnd w:id="10"/>
    <w:bookmarkStart w:name="z13" w:id="11"/>
    <w:p>
      <w:pPr>
        <w:spacing w:after="0"/>
        <w:ind w:left="0"/>
        <w:jc w:val="both"/>
      </w:pPr>
      <w:r>
        <w:rPr>
          <w:rFonts w:ascii="Times New Roman"/>
          <w:b w:val="false"/>
          <w:i w:val="false"/>
          <w:color w:val="000000"/>
          <w:sz w:val="28"/>
        </w:rPr>
        <w:t>
      2. Before surgical sterilisation, the attending physician shall conduct an interview to explain the irreversibility of the process, moral and ethical, psychological and negative physiological consequences and complications.</w:t>
      </w:r>
    </w:p>
    <w:bookmarkEnd w:id="11"/>
    <w:bookmarkStart w:name="z14" w:id="12"/>
    <w:p>
      <w:pPr>
        <w:spacing w:after="0"/>
        <w:ind w:left="0"/>
        <w:jc w:val="left"/>
      </w:pPr>
      <w:r>
        <w:rPr>
          <w:rFonts w:ascii="Times New Roman"/>
          <w:b/>
          <w:i w:val="false"/>
          <w:color w:val="000000"/>
        </w:rPr>
        <w:t xml:space="preserve"> Chapter 2: Procedures for surgical sterilisation</w:t>
      </w:r>
    </w:p>
    <w:bookmarkEnd w:id="12"/>
    <w:bookmarkStart w:name="z15" w:id="13"/>
    <w:p>
      <w:pPr>
        <w:spacing w:after="0"/>
        <w:ind w:left="0"/>
        <w:jc w:val="both"/>
      </w:pPr>
      <w:r>
        <w:rPr>
          <w:rFonts w:ascii="Times New Roman"/>
          <w:b w:val="false"/>
          <w:i w:val="false"/>
          <w:color w:val="000000"/>
          <w:sz w:val="28"/>
        </w:rPr>
        <w:t>
      3. Citizens wishing to use surgical sterilisation at the place of attachment shall complete an outpatient medical card in the form approved pursuant to paragraph 31 of Article 7 of the Code.</w:t>
      </w:r>
    </w:p>
    <w:bookmarkEnd w:id="13"/>
    <w:bookmarkStart w:name="z16" w:id="14"/>
    <w:p>
      <w:pPr>
        <w:spacing w:after="0"/>
        <w:ind w:left="0"/>
        <w:jc w:val="both"/>
      </w:pPr>
      <w:r>
        <w:rPr>
          <w:rFonts w:ascii="Times New Roman"/>
          <w:b w:val="false"/>
          <w:i w:val="false"/>
          <w:color w:val="000000"/>
          <w:sz w:val="28"/>
        </w:rPr>
        <w:t>
      4. When referring a citizen for surgical sterilisation, obstetricians-gynaecologists and urologists of medical organisations shall carry out an examination to establish that there are no medical contraindications to the operation.</w:t>
      </w:r>
    </w:p>
    <w:bookmarkEnd w:id="14"/>
    <w:bookmarkStart w:name="z17" w:id="15"/>
    <w:p>
      <w:pPr>
        <w:spacing w:after="0"/>
        <w:ind w:left="0"/>
        <w:jc w:val="both"/>
      </w:pPr>
      <w:r>
        <w:rPr>
          <w:rFonts w:ascii="Times New Roman"/>
          <w:b w:val="false"/>
          <w:i w:val="false"/>
          <w:color w:val="000000"/>
          <w:sz w:val="28"/>
        </w:rPr>
        <w:t>
      5. Surgical sterilisation of patients shall be carried out within the framework of the guaranteed volume of free medical care and (or) within the system of compulsory social health insurance.</w:t>
      </w:r>
    </w:p>
    <w:bookmarkEnd w:id="15"/>
    <w:bookmarkStart w:name="z18" w:id="16"/>
    <w:p>
      <w:pPr>
        <w:spacing w:after="0"/>
        <w:ind w:left="0"/>
        <w:jc w:val="both"/>
      </w:pPr>
      <w:r>
        <w:rPr>
          <w:rFonts w:ascii="Times New Roman"/>
          <w:b w:val="false"/>
          <w:i w:val="false"/>
          <w:color w:val="000000"/>
          <w:sz w:val="28"/>
        </w:rPr>
        <w:t>
      6. Surgical sterilisation of a patient shall be made after written informed consent has been obtained.</w:t>
      </w:r>
    </w:p>
    <w:bookmarkEnd w:id="16"/>
    <w:bookmarkStart w:name="z19" w:id="17"/>
    <w:p>
      <w:pPr>
        <w:spacing w:after="0"/>
        <w:ind w:left="0"/>
        <w:jc w:val="both"/>
      </w:pPr>
      <w:r>
        <w:rPr>
          <w:rFonts w:ascii="Times New Roman"/>
          <w:b w:val="false"/>
          <w:i w:val="false"/>
          <w:color w:val="000000"/>
          <w:sz w:val="28"/>
        </w:rPr>
        <w:t>
      7. In order to undergo surgical sterilisation, citizens shall undergo a medical examination regulated for cavity surgery.</w:t>
      </w:r>
    </w:p>
    <w:bookmarkEnd w:id="17"/>
    <w:bookmarkStart w:name="z20" w:id="18"/>
    <w:p>
      <w:pPr>
        <w:spacing w:after="0"/>
        <w:ind w:left="0"/>
        <w:jc w:val="both"/>
      </w:pPr>
      <w:r>
        <w:rPr>
          <w:rFonts w:ascii="Times New Roman"/>
          <w:b w:val="false"/>
          <w:i w:val="false"/>
          <w:color w:val="000000"/>
          <w:sz w:val="28"/>
        </w:rPr>
        <w:t>
      8. If there are no medical contraindications to surgical sterilisation and if the patient has given his or her written consent, the patient shall be referred to a healthcare centre via the portal of the hospitalisation office, with an extract from an outpatient's card with the results of the examination of the patient.</w:t>
      </w:r>
    </w:p>
    <w:bookmarkEnd w:id="18"/>
    <w:bookmarkStart w:name="z21" w:id="19"/>
    <w:p>
      <w:pPr>
        <w:spacing w:after="0"/>
        <w:ind w:left="0"/>
        <w:jc w:val="both"/>
      </w:pPr>
      <w:r>
        <w:rPr>
          <w:rFonts w:ascii="Times New Roman"/>
          <w:b w:val="false"/>
          <w:i w:val="false"/>
          <w:color w:val="000000"/>
          <w:sz w:val="28"/>
        </w:rPr>
        <w:t>
      9. Medical indications for surgical sterilisation of citizens shall be established in medical organisations by a medical advisory committee (hereinafter referred to as MAC) consisting of the head of the healthcare organisation, an obstetrician-gynaecologist or urologist-andrologist, a doctor of the specialty to which the disease belongs.</w:t>
      </w:r>
    </w:p>
    <w:bookmarkEnd w:id="19"/>
    <w:bookmarkStart w:name="z22" w:id="20"/>
    <w:p>
      <w:pPr>
        <w:spacing w:after="0"/>
        <w:ind w:left="0"/>
        <w:jc w:val="both"/>
      </w:pPr>
      <w:r>
        <w:rPr>
          <w:rFonts w:ascii="Times New Roman"/>
          <w:b w:val="false"/>
          <w:i w:val="false"/>
          <w:color w:val="000000"/>
          <w:sz w:val="28"/>
        </w:rPr>
        <w:t>
      10. For medical reasons, citizens shall be issued a report with a full clinical diagnosis, certified by the signatures of the specialists of the medical organisation indicated.</w:t>
      </w:r>
    </w:p>
    <w:bookmarkEnd w:id="20"/>
    <w:bookmarkStart w:name="z23" w:id="21"/>
    <w:p>
      <w:pPr>
        <w:spacing w:after="0"/>
        <w:ind w:left="0"/>
        <w:jc w:val="both"/>
      </w:pPr>
      <w:r>
        <w:rPr>
          <w:rFonts w:ascii="Times New Roman"/>
          <w:b w:val="false"/>
          <w:i w:val="false"/>
          <w:color w:val="000000"/>
          <w:sz w:val="28"/>
        </w:rPr>
        <w:t>
      11. When citizens apply to a medical organisation, the following shall be provided</w:t>
      </w:r>
    </w:p>
    <w:bookmarkEnd w:id="21"/>
    <w:bookmarkStart w:name="z24" w:id="22"/>
    <w:p>
      <w:pPr>
        <w:spacing w:after="0"/>
        <w:ind w:left="0"/>
        <w:jc w:val="both"/>
      </w:pPr>
      <w:r>
        <w:rPr>
          <w:rFonts w:ascii="Times New Roman"/>
          <w:b w:val="false"/>
          <w:i w:val="false"/>
          <w:color w:val="000000"/>
          <w:sz w:val="28"/>
        </w:rPr>
        <w:t>
      1) a referral via the portal of the hospitalisation office;</w:t>
      </w:r>
    </w:p>
    <w:bookmarkEnd w:id="22"/>
    <w:bookmarkStart w:name="z25" w:id="23"/>
    <w:p>
      <w:pPr>
        <w:spacing w:after="0"/>
        <w:ind w:left="0"/>
        <w:jc w:val="both"/>
      </w:pPr>
      <w:r>
        <w:rPr>
          <w:rFonts w:ascii="Times New Roman"/>
          <w:b w:val="false"/>
          <w:i w:val="false"/>
          <w:color w:val="000000"/>
          <w:sz w:val="28"/>
        </w:rPr>
        <w:t>
      2) conclusion of the MAC, in the case stipulated by paragraph 9 hereof;</w:t>
      </w:r>
    </w:p>
    <w:bookmarkEnd w:id="23"/>
    <w:bookmarkStart w:name="z26" w:id="24"/>
    <w:p>
      <w:pPr>
        <w:spacing w:after="0"/>
        <w:ind w:left="0"/>
        <w:jc w:val="both"/>
      </w:pPr>
      <w:r>
        <w:rPr>
          <w:rFonts w:ascii="Times New Roman"/>
          <w:b w:val="false"/>
          <w:i w:val="false"/>
          <w:color w:val="000000"/>
          <w:sz w:val="28"/>
        </w:rPr>
        <w:t>
      3) an extract from an out-patient's chart with the results of the examination of the patient.</w:t>
      </w:r>
    </w:p>
    <w:bookmarkEnd w:id="24"/>
    <w:bookmarkStart w:name="z27" w:id="25"/>
    <w:p>
      <w:pPr>
        <w:spacing w:after="0"/>
        <w:ind w:left="0"/>
        <w:jc w:val="both"/>
      </w:pPr>
      <w:r>
        <w:rPr>
          <w:rFonts w:ascii="Times New Roman"/>
          <w:b w:val="false"/>
          <w:i w:val="false"/>
          <w:color w:val="000000"/>
          <w:sz w:val="28"/>
        </w:rPr>
        <w:t>
      12. The duration of the patient's stay in a medical institution after surgical sterilisation shall be determined by the attending physician individually, depending on the patient's state of health.</w:t>
      </w:r>
    </w:p>
    <w:bookmarkEnd w:id="25"/>
    <w:bookmarkStart w:name="z28" w:id="26"/>
    <w:p>
      <w:pPr>
        <w:spacing w:after="0"/>
        <w:ind w:left="0"/>
        <w:jc w:val="left"/>
      </w:pPr>
      <w:r>
        <w:rPr>
          <w:rFonts w:ascii="Times New Roman"/>
          <w:b/>
          <w:i w:val="false"/>
          <w:color w:val="000000"/>
        </w:rPr>
        <w:t xml:space="preserve"> Chapter 3: Conditions for surgical sterilisation</w:t>
      </w:r>
    </w:p>
    <w:bookmarkEnd w:id="26"/>
    <w:bookmarkStart w:name="z29" w:id="27"/>
    <w:p>
      <w:pPr>
        <w:spacing w:after="0"/>
        <w:ind w:left="0"/>
        <w:jc w:val="both"/>
      </w:pPr>
      <w:r>
        <w:rPr>
          <w:rFonts w:ascii="Times New Roman"/>
          <w:b w:val="false"/>
          <w:i w:val="false"/>
          <w:color w:val="000000"/>
          <w:sz w:val="28"/>
        </w:rPr>
        <w:t>
      13. The condition for surgical sterilisation as a method of preventing unwanted pregnancy shall be the written consent of a citizen who is at least thirty-five years old or who has two children and, if medically indicated, with the consent of the patient regardless of age and presence of children.</w:t>
      </w:r>
    </w:p>
    <w:bookmarkEnd w:id="27"/>
    <w:bookmarkStart w:name="z30" w:id="28"/>
    <w:p>
      <w:pPr>
        <w:spacing w:after="0"/>
        <w:ind w:left="0"/>
        <w:jc w:val="both"/>
      </w:pPr>
      <w:r>
        <w:rPr>
          <w:rFonts w:ascii="Times New Roman"/>
          <w:b w:val="false"/>
          <w:i w:val="false"/>
          <w:color w:val="000000"/>
          <w:sz w:val="28"/>
        </w:rPr>
        <w:t xml:space="preserve">
      14. Medical indications for surgical sterilisation: </w:t>
      </w:r>
    </w:p>
    <w:bookmarkEnd w:id="28"/>
    <w:bookmarkStart w:name="z31" w:id="29"/>
    <w:p>
      <w:pPr>
        <w:spacing w:after="0"/>
        <w:ind w:left="0"/>
        <w:jc w:val="both"/>
      </w:pPr>
      <w:r>
        <w:rPr>
          <w:rFonts w:ascii="Times New Roman"/>
          <w:b w:val="false"/>
          <w:i w:val="false"/>
          <w:color w:val="000000"/>
          <w:sz w:val="28"/>
        </w:rPr>
        <w:t>
      1) present or past malignant neoplasms of all localisations;</w:t>
      </w:r>
    </w:p>
    <w:bookmarkEnd w:id="29"/>
    <w:bookmarkStart w:name="z32" w:id="30"/>
    <w:p>
      <w:pPr>
        <w:spacing w:after="0"/>
        <w:ind w:left="0"/>
        <w:jc w:val="both"/>
      </w:pPr>
      <w:r>
        <w:rPr>
          <w:rFonts w:ascii="Times New Roman"/>
          <w:b w:val="false"/>
          <w:i w:val="false"/>
          <w:color w:val="000000"/>
          <w:sz w:val="28"/>
        </w:rPr>
        <w:t>
      2) a repeated caesarean section or the presence of a scar on the uterus after gynaecological operations in the presence of children;</w:t>
      </w:r>
    </w:p>
    <w:bookmarkEnd w:id="30"/>
    <w:bookmarkStart w:name="z33" w:id="31"/>
    <w:p>
      <w:pPr>
        <w:spacing w:after="0"/>
        <w:ind w:left="0"/>
        <w:jc w:val="both"/>
      </w:pPr>
      <w:r>
        <w:rPr>
          <w:rFonts w:ascii="Times New Roman"/>
          <w:b w:val="false"/>
          <w:i w:val="false"/>
          <w:color w:val="000000"/>
          <w:sz w:val="28"/>
        </w:rPr>
        <w:t>
      3) diseases of the endocrine system:</w:t>
      </w:r>
    </w:p>
    <w:bookmarkEnd w:id="31"/>
    <w:bookmarkStart w:name="z34" w:id="32"/>
    <w:p>
      <w:pPr>
        <w:spacing w:after="0"/>
        <w:ind w:left="0"/>
        <w:jc w:val="both"/>
      </w:pPr>
      <w:r>
        <w:rPr>
          <w:rFonts w:ascii="Times New Roman"/>
          <w:b w:val="false"/>
          <w:i w:val="false"/>
          <w:color w:val="000000"/>
          <w:sz w:val="28"/>
        </w:rPr>
        <w:t>
      thyrotoxicosis;</w:t>
      </w:r>
    </w:p>
    <w:bookmarkEnd w:id="32"/>
    <w:bookmarkStart w:name="z35" w:id="33"/>
    <w:p>
      <w:pPr>
        <w:spacing w:after="0"/>
        <w:ind w:left="0"/>
        <w:jc w:val="both"/>
      </w:pPr>
      <w:r>
        <w:rPr>
          <w:rFonts w:ascii="Times New Roman"/>
          <w:b w:val="false"/>
          <w:i w:val="false"/>
          <w:color w:val="000000"/>
          <w:sz w:val="28"/>
        </w:rPr>
        <w:t>
      congenital or acquired hypothyroidism;</w:t>
      </w:r>
    </w:p>
    <w:bookmarkEnd w:id="33"/>
    <w:bookmarkStart w:name="z36" w:id="34"/>
    <w:p>
      <w:pPr>
        <w:spacing w:after="0"/>
        <w:ind w:left="0"/>
        <w:jc w:val="both"/>
      </w:pPr>
      <w:r>
        <w:rPr>
          <w:rFonts w:ascii="Times New Roman"/>
          <w:b w:val="false"/>
          <w:i w:val="false"/>
          <w:color w:val="000000"/>
          <w:sz w:val="28"/>
        </w:rPr>
        <w:t>
      severe diabetes mellitus;</w:t>
      </w:r>
    </w:p>
    <w:bookmarkEnd w:id="34"/>
    <w:bookmarkStart w:name="z37" w:id="35"/>
    <w:p>
      <w:pPr>
        <w:spacing w:after="0"/>
        <w:ind w:left="0"/>
        <w:jc w:val="both"/>
      </w:pPr>
      <w:r>
        <w:rPr>
          <w:rFonts w:ascii="Times New Roman"/>
          <w:b w:val="false"/>
          <w:i w:val="false"/>
          <w:color w:val="000000"/>
          <w:sz w:val="28"/>
        </w:rPr>
        <w:t>
      diabetes mellitus in both spouses;</w:t>
      </w:r>
    </w:p>
    <w:bookmarkEnd w:id="35"/>
    <w:bookmarkStart w:name="z38" w:id="36"/>
    <w:p>
      <w:pPr>
        <w:spacing w:after="0"/>
        <w:ind w:left="0"/>
        <w:jc w:val="both"/>
      </w:pPr>
      <w:r>
        <w:rPr>
          <w:rFonts w:ascii="Times New Roman"/>
          <w:b w:val="false"/>
          <w:i w:val="false"/>
          <w:color w:val="000000"/>
          <w:sz w:val="28"/>
        </w:rPr>
        <w:t>
      hyperparathyroidism, hypoparathyroidism;</w:t>
      </w:r>
    </w:p>
    <w:bookmarkEnd w:id="36"/>
    <w:bookmarkStart w:name="z39" w:id="37"/>
    <w:p>
      <w:pPr>
        <w:spacing w:after="0"/>
        <w:ind w:left="0"/>
        <w:jc w:val="both"/>
      </w:pPr>
      <w:r>
        <w:rPr>
          <w:rFonts w:ascii="Times New Roman"/>
          <w:b w:val="false"/>
          <w:i w:val="false"/>
          <w:color w:val="000000"/>
          <w:sz w:val="28"/>
        </w:rPr>
        <w:t>
      non-sugar diabetes;</w:t>
      </w:r>
    </w:p>
    <w:bookmarkEnd w:id="37"/>
    <w:bookmarkStart w:name="z40" w:id="38"/>
    <w:p>
      <w:pPr>
        <w:spacing w:after="0"/>
        <w:ind w:left="0"/>
        <w:jc w:val="both"/>
      </w:pPr>
      <w:r>
        <w:rPr>
          <w:rFonts w:ascii="Times New Roman"/>
          <w:b w:val="false"/>
          <w:i w:val="false"/>
          <w:color w:val="000000"/>
          <w:sz w:val="28"/>
        </w:rPr>
        <w:t>
      adrenal diseases (active phase or significant residual effects after specific treatment);</w:t>
      </w:r>
    </w:p>
    <w:bookmarkEnd w:id="38"/>
    <w:bookmarkStart w:name="z41" w:id="39"/>
    <w:p>
      <w:pPr>
        <w:spacing w:after="0"/>
        <w:ind w:left="0"/>
        <w:jc w:val="both"/>
      </w:pPr>
      <w:r>
        <w:rPr>
          <w:rFonts w:ascii="Times New Roman"/>
          <w:b w:val="false"/>
          <w:i w:val="false"/>
          <w:color w:val="000000"/>
          <w:sz w:val="28"/>
        </w:rPr>
        <w:t>
      amyloidosis;</w:t>
      </w:r>
    </w:p>
    <w:bookmarkEnd w:id="39"/>
    <w:bookmarkStart w:name="z42" w:id="40"/>
    <w:p>
      <w:pPr>
        <w:spacing w:after="0"/>
        <w:ind w:left="0"/>
        <w:jc w:val="both"/>
      </w:pPr>
      <w:r>
        <w:rPr>
          <w:rFonts w:ascii="Times New Roman"/>
          <w:b w:val="false"/>
          <w:i w:val="false"/>
          <w:color w:val="000000"/>
          <w:sz w:val="28"/>
        </w:rPr>
        <w:t>
      4) diseases of the blood and hematopoietic organs:</w:t>
      </w:r>
    </w:p>
    <w:bookmarkEnd w:id="40"/>
    <w:bookmarkStart w:name="z43" w:id="41"/>
    <w:p>
      <w:pPr>
        <w:spacing w:after="0"/>
        <w:ind w:left="0"/>
        <w:jc w:val="both"/>
      </w:pPr>
      <w:r>
        <w:rPr>
          <w:rFonts w:ascii="Times New Roman"/>
          <w:b w:val="false"/>
          <w:i w:val="false"/>
          <w:color w:val="000000"/>
          <w:sz w:val="28"/>
        </w:rPr>
        <w:t>
      aplastic anaemia;</w:t>
      </w:r>
    </w:p>
    <w:bookmarkEnd w:id="41"/>
    <w:bookmarkStart w:name="z44" w:id="42"/>
    <w:p>
      <w:pPr>
        <w:spacing w:after="0"/>
        <w:ind w:left="0"/>
        <w:jc w:val="both"/>
      </w:pPr>
      <w:r>
        <w:rPr>
          <w:rFonts w:ascii="Times New Roman"/>
          <w:b w:val="false"/>
          <w:i w:val="false"/>
          <w:color w:val="000000"/>
          <w:sz w:val="28"/>
        </w:rPr>
        <w:t>
      thrombopenic and thrombopathic conditions in remission;</w:t>
      </w:r>
    </w:p>
    <w:bookmarkEnd w:id="42"/>
    <w:bookmarkStart w:name="z45" w:id="43"/>
    <w:p>
      <w:pPr>
        <w:spacing w:after="0"/>
        <w:ind w:left="0"/>
        <w:jc w:val="both"/>
      </w:pPr>
      <w:r>
        <w:rPr>
          <w:rFonts w:ascii="Times New Roman"/>
          <w:b w:val="false"/>
          <w:i w:val="false"/>
          <w:color w:val="000000"/>
          <w:sz w:val="28"/>
        </w:rPr>
        <w:t>
      haemorrhagic conditions in remission;</w:t>
      </w:r>
    </w:p>
    <w:bookmarkEnd w:id="43"/>
    <w:bookmarkStart w:name="z46" w:id="44"/>
    <w:p>
      <w:pPr>
        <w:spacing w:after="0"/>
        <w:ind w:left="0"/>
        <w:jc w:val="both"/>
      </w:pPr>
      <w:r>
        <w:rPr>
          <w:rFonts w:ascii="Times New Roman"/>
          <w:b w:val="false"/>
          <w:i w:val="false"/>
          <w:color w:val="000000"/>
          <w:sz w:val="28"/>
        </w:rPr>
        <w:t>
      5) mental disorders (certified by the psychoneurological organisation in the mother or the father of the unborn child):</w:t>
      </w:r>
    </w:p>
    <w:bookmarkEnd w:id="44"/>
    <w:bookmarkStart w:name="z47" w:id="45"/>
    <w:p>
      <w:pPr>
        <w:spacing w:after="0"/>
        <w:ind w:left="0"/>
        <w:jc w:val="both"/>
      </w:pPr>
      <w:r>
        <w:rPr>
          <w:rFonts w:ascii="Times New Roman"/>
          <w:b w:val="false"/>
          <w:i w:val="false"/>
          <w:color w:val="000000"/>
          <w:sz w:val="28"/>
        </w:rPr>
        <w:t>
      psychoses, including alcoholic, drug-induced, schizophrenic and other inorganic psychoses;</w:t>
      </w:r>
    </w:p>
    <w:bookmarkEnd w:id="45"/>
    <w:bookmarkStart w:name="z48" w:id="46"/>
    <w:p>
      <w:pPr>
        <w:spacing w:after="0"/>
        <w:ind w:left="0"/>
        <w:jc w:val="both"/>
      </w:pPr>
      <w:r>
        <w:rPr>
          <w:rFonts w:ascii="Times New Roman"/>
          <w:b w:val="false"/>
          <w:i w:val="false"/>
          <w:color w:val="000000"/>
          <w:sz w:val="28"/>
        </w:rPr>
        <w:t>
      transient and chronic psychoneurotic conditions resulting from organic diseases;</w:t>
      </w:r>
    </w:p>
    <w:bookmarkEnd w:id="46"/>
    <w:bookmarkStart w:name="z49" w:id="47"/>
    <w:p>
      <w:pPr>
        <w:spacing w:after="0"/>
        <w:ind w:left="0"/>
        <w:jc w:val="both"/>
      </w:pPr>
      <w:r>
        <w:rPr>
          <w:rFonts w:ascii="Times New Roman"/>
          <w:b w:val="false"/>
          <w:i w:val="false"/>
          <w:color w:val="000000"/>
          <w:sz w:val="28"/>
        </w:rPr>
        <w:t>
      schizophrenia;</w:t>
      </w:r>
    </w:p>
    <w:bookmarkEnd w:id="47"/>
    <w:bookmarkStart w:name="z50" w:id="48"/>
    <w:p>
      <w:pPr>
        <w:spacing w:after="0"/>
        <w:ind w:left="0"/>
        <w:jc w:val="both"/>
      </w:pPr>
      <w:r>
        <w:rPr>
          <w:rFonts w:ascii="Times New Roman"/>
          <w:b w:val="false"/>
          <w:i w:val="false"/>
          <w:color w:val="000000"/>
          <w:sz w:val="28"/>
        </w:rPr>
        <w:t>
      paranoid conditions;</w:t>
      </w:r>
    </w:p>
    <w:bookmarkEnd w:id="48"/>
    <w:bookmarkStart w:name="z51" w:id="49"/>
    <w:p>
      <w:pPr>
        <w:spacing w:after="0"/>
        <w:ind w:left="0"/>
        <w:jc w:val="both"/>
      </w:pPr>
      <w:r>
        <w:rPr>
          <w:rFonts w:ascii="Times New Roman"/>
          <w:b w:val="false"/>
          <w:i w:val="false"/>
          <w:color w:val="000000"/>
          <w:sz w:val="28"/>
        </w:rPr>
        <w:t>
      personality disorders;</w:t>
      </w:r>
    </w:p>
    <w:bookmarkEnd w:id="49"/>
    <w:bookmarkStart w:name="z52" w:id="50"/>
    <w:p>
      <w:pPr>
        <w:spacing w:after="0"/>
        <w:ind w:left="0"/>
        <w:jc w:val="both"/>
      </w:pPr>
      <w:r>
        <w:rPr>
          <w:rFonts w:ascii="Times New Roman"/>
          <w:b w:val="false"/>
          <w:i w:val="false"/>
          <w:color w:val="000000"/>
          <w:sz w:val="28"/>
        </w:rPr>
        <w:t>
      chronic alcoholism;</w:t>
      </w:r>
    </w:p>
    <w:bookmarkEnd w:id="50"/>
    <w:bookmarkStart w:name="z53" w:id="51"/>
    <w:p>
      <w:pPr>
        <w:spacing w:after="0"/>
        <w:ind w:left="0"/>
        <w:jc w:val="both"/>
      </w:pPr>
      <w:r>
        <w:rPr>
          <w:rFonts w:ascii="Times New Roman"/>
          <w:b w:val="false"/>
          <w:i w:val="false"/>
          <w:color w:val="000000"/>
          <w:sz w:val="28"/>
        </w:rPr>
        <w:t>
      mental retardation;</w:t>
      </w:r>
    </w:p>
    <w:bookmarkEnd w:id="51"/>
    <w:bookmarkStart w:name="z54" w:id="52"/>
    <w:p>
      <w:pPr>
        <w:spacing w:after="0"/>
        <w:ind w:left="0"/>
        <w:jc w:val="both"/>
      </w:pPr>
      <w:r>
        <w:rPr>
          <w:rFonts w:ascii="Times New Roman"/>
          <w:b w:val="false"/>
          <w:i w:val="false"/>
          <w:color w:val="000000"/>
          <w:sz w:val="28"/>
        </w:rPr>
        <w:t>
      6) diseases of the nervous system and sense organs:</w:t>
      </w:r>
    </w:p>
    <w:bookmarkEnd w:id="52"/>
    <w:bookmarkStart w:name="z55" w:id="53"/>
    <w:p>
      <w:pPr>
        <w:spacing w:after="0"/>
        <w:ind w:left="0"/>
        <w:jc w:val="both"/>
      </w:pPr>
      <w:r>
        <w:rPr>
          <w:rFonts w:ascii="Times New Roman"/>
          <w:b w:val="false"/>
          <w:i w:val="false"/>
          <w:color w:val="000000"/>
          <w:sz w:val="28"/>
        </w:rPr>
        <w:t>
      those having suffered severe inflammatory diseases of the central nervous system (meningitis, encephalitis, myelitis and encephalomyelitis);</w:t>
      </w:r>
    </w:p>
    <w:bookmarkEnd w:id="53"/>
    <w:bookmarkStart w:name="z56" w:id="54"/>
    <w:p>
      <w:pPr>
        <w:spacing w:after="0"/>
        <w:ind w:left="0"/>
        <w:jc w:val="both"/>
      </w:pPr>
      <w:r>
        <w:rPr>
          <w:rFonts w:ascii="Times New Roman"/>
          <w:b w:val="false"/>
          <w:i w:val="false"/>
          <w:color w:val="000000"/>
          <w:sz w:val="28"/>
        </w:rPr>
        <w:t>
      hereditary and degenerative diseases of the central nervous system;</w:t>
      </w:r>
    </w:p>
    <w:bookmarkEnd w:id="54"/>
    <w:bookmarkStart w:name="z57" w:id="55"/>
    <w:p>
      <w:pPr>
        <w:spacing w:after="0"/>
        <w:ind w:left="0"/>
        <w:jc w:val="both"/>
      </w:pPr>
      <w:r>
        <w:rPr>
          <w:rFonts w:ascii="Times New Roman"/>
          <w:b w:val="false"/>
          <w:i w:val="false"/>
          <w:color w:val="000000"/>
          <w:sz w:val="28"/>
        </w:rPr>
        <w:t>
      all forms of multiple sclerosis, other demyelinating diseases of the central nervous system;</w:t>
      </w:r>
    </w:p>
    <w:bookmarkEnd w:id="55"/>
    <w:bookmarkStart w:name="z58" w:id="56"/>
    <w:p>
      <w:pPr>
        <w:spacing w:after="0"/>
        <w:ind w:left="0"/>
        <w:jc w:val="both"/>
      </w:pPr>
      <w:r>
        <w:rPr>
          <w:rFonts w:ascii="Times New Roman"/>
          <w:b w:val="false"/>
          <w:i w:val="false"/>
          <w:color w:val="000000"/>
          <w:sz w:val="28"/>
        </w:rPr>
        <w:t>
      epilepsy - all forms;</w:t>
      </w:r>
    </w:p>
    <w:bookmarkEnd w:id="56"/>
    <w:bookmarkStart w:name="z59" w:id="57"/>
    <w:p>
      <w:pPr>
        <w:spacing w:after="0"/>
        <w:ind w:left="0"/>
        <w:jc w:val="both"/>
      </w:pPr>
      <w:r>
        <w:rPr>
          <w:rFonts w:ascii="Times New Roman"/>
          <w:b w:val="false"/>
          <w:i w:val="false"/>
          <w:color w:val="000000"/>
          <w:sz w:val="28"/>
        </w:rPr>
        <w:t>
      catalepsy and narcolepsy - all forms;</w:t>
      </w:r>
    </w:p>
    <w:bookmarkEnd w:id="57"/>
    <w:bookmarkStart w:name="z60" w:id="58"/>
    <w:p>
      <w:pPr>
        <w:spacing w:after="0"/>
        <w:ind w:left="0"/>
        <w:jc w:val="both"/>
      </w:pPr>
      <w:r>
        <w:rPr>
          <w:rFonts w:ascii="Times New Roman"/>
          <w:b w:val="false"/>
          <w:i w:val="false"/>
          <w:color w:val="000000"/>
          <w:sz w:val="28"/>
        </w:rPr>
        <w:t>
      inflammatory and toxic neuropathies - all forms, in remission;</w:t>
      </w:r>
    </w:p>
    <w:bookmarkEnd w:id="58"/>
    <w:bookmarkStart w:name="z61" w:id="59"/>
    <w:p>
      <w:pPr>
        <w:spacing w:after="0"/>
        <w:ind w:left="0"/>
        <w:jc w:val="both"/>
      </w:pPr>
      <w:r>
        <w:rPr>
          <w:rFonts w:ascii="Times New Roman"/>
          <w:b w:val="false"/>
          <w:i w:val="false"/>
          <w:color w:val="000000"/>
          <w:sz w:val="28"/>
        </w:rPr>
        <w:t>
      muscular dystrophy and other types of myopathies;</w:t>
      </w:r>
    </w:p>
    <w:bookmarkEnd w:id="59"/>
    <w:bookmarkStart w:name="z62" w:id="60"/>
    <w:p>
      <w:pPr>
        <w:spacing w:after="0"/>
        <w:ind w:left="0"/>
        <w:jc w:val="both"/>
      </w:pPr>
      <w:r>
        <w:rPr>
          <w:rFonts w:ascii="Times New Roman"/>
          <w:b w:val="false"/>
          <w:i w:val="false"/>
          <w:color w:val="000000"/>
          <w:sz w:val="28"/>
        </w:rPr>
        <w:t>
      retinal detachment iris diseases - severe forms, optic neuritis, keratitis, congenital cataract, progressive reduction in visual acuity;</w:t>
      </w:r>
    </w:p>
    <w:bookmarkEnd w:id="60"/>
    <w:bookmarkStart w:name="z63" w:id="61"/>
    <w:p>
      <w:pPr>
        <w:spacing w:after="0"/>
        <w:ind w:left="0"/>
        <w:jc w:val="both"/>
      </w:pPr>
      <w:r>
        <w:rPr>
          <w:rFonts w:ascii="Times New Roman"/>
          <w:b w:val="false"/>
          <w:i w:val="false"/>
          <w:color w:val="000000"/>
          <w:sz w:val="28"/>
        </w:rPr>
        <w:t>
      diseases of the vestibular system;</w:t>
      </w:r>
    </w:p>
    <w:bookmarkEnd w:id="61"/>
    <w:bookmarkStart w:name="z64" w:id="62"/>
    <w:p>
      <w:pPr>
        <w:spacing w:after="0"/>
        <w:ind w:left="0"/>
        <w:jc w:val="both"/>
      </w:pPr>
      <w:r>
        <w:rPr>
          <w:rFonts w:ascii="Times New Roman"/>
          <w:b w:val="false"/>
          <w:i w:val="false"/>
          <w:color w:val="000000"/>
          <w:sz w:val="28"/>
        </w:rPr>
        <w:t>
      otosclerosis - all forms, diseases of the auditory nerve in the presence of progressive hearing loss, congenital deafness, deaf-mute;</w:t>
      </w:r>
    </w:p>
    <w:bookmarkEnd w:id="62"/>
    <w:bookmarkStart w:name="z65" w:id="63"/>
    <w:p>
      <w:pPr>
        <w:spacing w:after="0"/>
        <w:ind w:left="0"/>
        <w:jc w:val="both"/>
      </w:pPr>
      <w:r>
        <w:rPr>
          <w:rFonts w:ascii="Times New Roman"/>
          <w:b w:val="false"/>
          <w:i w:val="false"/>
          <w:color w:val="000000"/>
          <w:sz w:val="28"/>
        </w:rPr>
        <w:t>
      7) diseases of the circulatory system:</w:t>
      </w:r>
    </w:p>
    <w:bookmarkEnd w:id="63"/>
    <w:bookmarkStart w:name="z66" w:id="64"/>
    <w:p>
      <w:pPr>
        <w:spacing w:after="0"/>
        <w:ind w:left="0"/>
        <w:jc w:val="both"/>
      </w:pPr>
      <w:r>
        <w:rPr>
          <w:rFonts w:ascii="Times New Roman"/>
          <w:b w:val="false"/>
          <w:i w:val="false"/>
          <w:color w:val="000000"/>
          <w:sz w:val="28"/>
        </w:rPr>
        <w:t>
      persistently recurrent myocarditis;</w:t>
      </w:r>
    </w:p>
    <w:bookmarkEnd w:id="64"/>
    <w:bookmarkStart w:name="z67" w:id="65"/>
    <w:p>
      <w:pPr>
        <w:spacing w:after="0"/>
        <w:ind w:left="0"/>
        <w:jc w:val="both"/>
      </w:pPr>
      <w:r>
        <w:rPr>
          <w:rFonts w:ascii="Times New Roman"/>
          <w:b w:val="false"/>
          <w:i w:val="false"/>
          <w:color w:val="000000"/>
          <w:sz w:val="28"/>
        </w:rPr>
        <w:t>
      chronic pericarditis with signs of heart compression;</w:t>
      </w:r>
    </w:p>
    <w:bookmarkEnd w:id="65"/>
    <w:bookmarkStart w:name="z68" w:id="66"/>
    <w:p>
      <w:pPr>
        <w:spacing w:after="0"/>
        <w:ind w:left="0"/>
        <w:jc w:val="both"/>
      </w:pPr>
      <w:r>
        <w:rPr>
          <w:rFonts w:ascii="Times New Roman"/>
          <w:b w:val="false"/>
          <w:i w:val="false"/>
          <w:color w:val="000000"/>
          <w:sz w:val="28"/>
        </w:rPr>
        <w:t>
      malformations of mitral, aortic, tricuspid valve, multi-valve malformations with circulatory insufficiency of 2-3 degrees;</w:t>
      </w:r>
    </w:p>
    <w:bookmarkEnd w:id="66"/>
    <w:bookmarkStart w:name="z69" w:id="67"/>
    <w:p>
      <w:pPr>
        <w:spacing w:after="0"/>
        <w:ind w:left="0"/>
        <w:jc w:val="both"/>
      </w:pPr>
      <w:r>
        <w:rPr>
          <w:rFonts w:ascii="Times New Roman"/>
          <w:b w:val="false"/>
          <w:i w:val="false"/>
          <w:color w:val="000000"/>
          <w:sz w:val="28"/>
        </w:rPr>
        <w:t>
      hypertension, stages - grade 11 A with frequent crises, grade 2b-3, malignant;</w:t>
      </w:r>
    </w:p>
    <w:bookmarkEnd w:id="67"/>
    <w:bookmarkStart w:name="z70" w:id="68"/>
    <w:p>
      <w:pPr>
        <w:spacing w:after="0"/>
        <w:ind w:left="0"/>
        <w:jc w:val="both"/>
      </w:pPr>
      <w:r>
        <w:rPr>
          <w:rFonts w:ascii="Times New Roman"/>
          <w:b w:val="false"/>
          <w:i w:val="false"/>
          <w:color w:val="000000"/>
          <w:sz w:val="28"/>
        </w:rPr>
        <w:t>
      coronary heart disease - all forms;</w:t>
      </w:r>
    </w:p>
    <w:bookmarkEnd w:id="68"/>
    <w:bookmarkStart w:name="z71" w:id="69"/>
    <w:p>
      <w:pPr>
        <w:spacing w:after="0"/>
        <w:ind w:left="0"/>
        <w:jc w:val="both"/>
      </w:pPr>
      <w:r>
        <w:rPr>
          <w:rFonts w:ascii="Times New Roman"/>
          <w:b w:val="false"/>
          <w:i w:val="false"/>
          <w:color w:val="000000"/>
          <w:sz w:val="28"/>
        </w:rPr>
        <w:t>
      presence of pulmonary hypertension - degree 2-3;</w:t>
      </w:r>
    </w:p>
    <w:bookmarkEnd w:id="69"/>
    <w:bookmarkStart w:name="z72" w:id="70"/>
    <w:p>
      <w:pPr>
        <w:spacing w:after="0"/>
        <w:ind w:left="0"/>
        <w:jc w:val="both"/>
      </w:pPr>
      <w:r>
        <w:rPr>
          <w:rFonts w:ascii="Times New Roman"/>
          <w:b w:val="false"/>
          <w:i w:val="false"/>
          <w:color w:val="000000"/>
          <w:sz w:val="28"/>
        </w:rPr>
        <w:t>
      cardiac rhythm and conduction disorders: grade 3 atrio-ventricular blocks, atrial fibrillation, paroxysmal tachycardia with frequent attacks;</w:t>
      </w:r>
    </w:p>
    <w:bookmarkEnd w:id="70"/>
    <w:bookmarkStart w:name="z73" w:id="71"/>
    <w:p>
      <w:pPr>
        <w:spacing w:after="0"/>
        <w:ind w:left="0"/>
        <w:jc w:val="both"/>
      </w:pPr>
      <w:r>
        <w:rPr>
          <w:rFonts w:ascii="Times New Roman"/>
          <w:b w:val="false"/>
          <w:i w:val="false"/>
          <w:color w:val="000000"/>
          <w:sz w:val="28"/>
        </w:rPr>
        <w:t>
      aortic aneurysm;</w:t>
      </w:r>
    </w:p>
    <w:bookmarkEnd w:id="71"/>
    <w:bookmarkStart w:name="z74" w:id="72"/>
    <w:p>
      <w:pPr>
        <w:spacing w:after="0"/>
        <w:ind w:left="0"/>
        <w:jc w:val="both"/>
      </w:pPr>
      <w:r>
        <w:rPr>
          <w:rFonts w:ascii="Times New Roman"/>
          <w:b w:val="false"/>
          <w:i w:val="false"/>
          <w:color w:val="000000"/>
          <w:sz w:val="28"/>
        </w:rPr>
        <w:t>
      arterial embolism and thrombosis;</w:t>
      </w:r>
    </w:p>
    <w:bookmarkEnd w:id="72"/>
    <w:bookmarkStart w:name="z75" w:id="73"/>
    <w:p>
      <w:pPr>
        <w:spacing w:after="0"/>
        <w:ind w:left="0"/>
        <w:jc w:val="both"/>
      </w:pPr>
      <w:r>
        <w:rPr>
          <w:rFonts w:ascii="Times New Roman"/>
          <w:b w:val="false"/>
          <w:i w:val="false"/>
          <w:color w:val="000000"/>
          <w:sz w:val="28"/>
        </w:rPr>
        <w:t>
      periarteritis nodosa and similar conditions;</w:t>
      </w:r>
    </w:p>
    <w:bookmarkEnd w:id="73"/>
    <w:bookmarkStart w:name="z76" w:id="74"/>
    <w:p>
      <w:pPr>
        <w:spacing w:after="0"/>
        <w:ind w:left="0"/>
        <w:jc w:val="both"/>
      </w:pPr>
      <w:r>
        <w:rPr>
          <w:rFonts w:ascii="Times New Roman"/>
          <w:b w:val="false"/>
          <w:i w:val="false"/>
          <w:color w:val="000000"/>
          <w:sz w:val="28"/>
        </w:rPr>
        <w:t>
      other congenital anomalies of the circulatory system;</w:t>
      </w:r>
    </w:p>
    <w:bookmarkEnd w:id="74"/>
    <w:bookmarkStart w:name="z77" w:id="75"/>
    <w:p>
      <w:pPr>
        <w:spacing w:after="0"/>
        <w:ind w:left="0"/>
        <w:jc w:val="both"/>
      </w:pPr>
      <w:r>
        <w:rPr>
          <w:rFonts w:ascii="Times New Roman"/>
          <w:b w:val="false"/>
          <w:i w:val="false"/>
          <w:color w:val="000000"/>
          <w:sz w:val="28"/>
        </w:rPr>
        <w:t>
      conditions after surgical correction of malformations performed for symptomatic pulmonary hypertension, incomplete surgical correction of congenital malformation, recanalisation of septal defects and patent ductus arteriosus;</w:t>
      </w:r>
    </w:p>
    <w:bookmarkEnd w:id="75"/>
    <w:bookmarkStart w:name="z78" w:id="76"/>
    <w:p>
      <w:pPr>
        <w:spacing w:after="0"/>
        <w:ind w:left="0"/>
        <w:jc w:val="both"/>
      </w:pPr>
      <w:r>
        <w:rPr>
          <w:rFonts w:ascii="Times New Roman"/>
          <w:b w:val="false"/>
          <w:i w:val="false"/>
          <w:color w:val="000000"/>
          <w:sz w:val="28"/>
        </w:rPr>
        <w:t>
      conditions after prosthetic heart valves with unsatisfactory condition of other heart valves;</w:t>
      </w:r>
    </w:p>
    <w:bookmarkEnd w:id="76"/>
    <w:bookmarkStart w:name="z79" w:id="77"/>
    <w:p>
      <w:pPr>
        <w:spacing w:after="0"/>
        <w:ind w:left="0"/>
        <w:jc w:val="both"/>
      </w:pPr>
      <w:r>
        <w:rPr>
          <w:rFonts w:ascii="Times New Roman"/>
          <w:b w:val="false"/>
          <w:i w:val="false"/>
          <w:color w:val="000000"/>
          <w:sz w:val="28"/>
        </w:rPr>
        <w:t>
      8) respiratory diseases:</w:t>
      </w:r>
    </w:p>
    <w:bookmarkEnd w:id="77"/>
    <w:bookmarkStart w:name="z80" w:id="78"/>
    <w:p>
      <w:pPr>
        <w:spacing w:after="0"/>
        <w:ind w:left="0"/>
        <w:jc w:val="both"/>
      </w:pPr>
      <w:r>
        <w:rPr>
          <w:rFonts w:ascii="Times New Roman"/>
          <w:b w:val="false"/>
          <w:i w:val="false"/>
          <w:color w:val="000000"/>
          <w:sz w:val="28"/>
        </w:rPr>
        <w:t>
      stenosis of the larynx, trachea or bronchi;</w:t>
      </w:r>
    </w:p>
    <w:bookmarkEnd w:id="78"/>
    <w:bookmarkStart w:name="z81" w:id="79"/>
    <w:p>
      <w:pPr>
        <w:spacing w:after="0"/>
        <w:ind w:left="0"/>
        <w:jc w:val="both"/>
      </w:pPr>
      <w:r>
        <w:rPr>
          <w:rFonts w:ascii="Times New Roman"/>
          <w:b w:val="false"/>
          <w:i w:val="false"/>
          <w:color w:val="000000"/>
          <w:sz w:val="28"/>
        </w:rPr>
        <w:t>
      bronchial asthma - severe form;</w:t>
      </w:r>
    </w:p>
    <w:bookmarkEnd w:id="79"/>
    <w:bookmarkStart w:name="z82" w:id="80"/>
    <w:p>
      <w:pPr>
        <w:spacing w:after="0"/>
        <w:ind w:left="0"/>
        <w:jc w:val="both"/>
      </w:pPr>
      <w:r>
        <w:rPr>
          <w:rFonts w:ascii="Times New Roman"/>
          <w:b w:val="false"/>
          <w:i w:val="false"/>
          <w:color w:val="000000"/>
          <w:sz w:val="28"/>
        </w:rPr>
        <w:t>
      bronchiectatic disease - severe, hormone-dependent form;</w:t>
      </w:r>
    </w:p>
    <w:bookmarkEnd w:id="80"/>
    <w:bookmarkStart w:name="z83" w:id="81"/>
    <w:p>
      <w:pPr>
        <w:spacing w:after="0"/>
        <w:ind w:left="0"/>
        <w:jc w:val="both"/>
      </w:pPr>
      <w:r>
        <w:rPr>
          <w:rFonts w:ascii="Times New Roman"/>
          <w:b w:val="false"/>
          <w:i w:val="false"/>
          <w:color w:val="000000"/>
          <w:sz w:val="28"/>
        </w:rPr>
        <w:t>
      pulmonary and pleural disease with pulmonary heart failure, amyloidosis of internal organs;</w:t>
      </w:r>
    </w:p>
    <w:bookmarkEnd w:id="81"/>
    <w:bookmarkStart w:name="z84" w:id="82"/>
    <w:p>
      <w:pPr>
        <w:spacing w:after="0"/>
        <w:ind w:left="0"/>
        <w:jc w:val="both"/>
      </w:pPr>
      <w:r>
        <w:rPr>
          <w:rFonts w:ascii="Times New Roman"/>
          <w:b w:val="false"/>
          <w:i w:val="false"/>
          <w:color w:val="000000"/>
          <w:sz w:val="28"/>
        </w:rPr>
        <w:t>
      polycystic lung disease;</w:t>
      </w:r>
    </w:p>
    <w:bookmarkEnd w:id="82"/>
    <w:bookmarkStart w:name="z85" w:id="83"/>
    <w:p>
      <w:pPr>
        <w:spacing w:after="0"/>
        <w:ind w:left="0"/>
        <w:jc w:val="both"/>
      </w:pPr>
      <w:r>
        <w:rPr>
          <w:rFonts w:ascii="Times New Roman"/>
          <w:b w:val="false"/>
          <w:i w:val="false"/>
          <w:color w:val="000000"/>
          <w:sz w:val="28"/>
        </w:rPr>
        <w:t>
      respiratory diseases with respiratory failure grades 2b and 3;</w:t>
      </w:r>
    </w:p>
    <w:bookmarkEnd w:id="83"/>
    <w:bookmarkStart w:name="z86" w:id="84"/>
    <w:p>
      <w:pPr>
        <w:spacing w:after="0"/>
        <w:ind w:left="0"/>
        <w:jc w:val="both"/>
      </w:pPr>
      <w:r>
        <w:rPr>
          <w:rFonts w:ascii="Times New Roman"/>
          <w:b w:val="false"/>
          <w:i w:val="false"/>
          <w:color w:val="000000"/>
          <w:sz w:val="28"/>
        </w:rPr>
        <w:t>
      persons with severe pulmonary tuberculosis;</w:t>
      </w:r>
    </w:p>
    <w:bookmarkEnd w:id="84"/>
    <w:bookmarkStart w:name="z87" w:id="85"/>
    <w:p>
      <w:pPr>
        <w:spacing w:after="0"/>
        <w:ind w:left="0"/>
        <w:jc w:val="both"/>
      </w:pPr>
      <w:r>
        <w:rPr>
          <w:rFonts w:ascii="Times New Roman"/>
          <w:b w:val="false"/>
          <w:i w:val="false"/>
          <w:color w:val="000000"/>
          <w:sz w:val="28"/>
        </w:rPr>
        <w:t>
      9) diseases of the digestive organs:</w:t>
      </w:r>
    </w:p>
    <w:bookmarkEnd w:id="85"/>
    <w:bookmarkStart w:name="z88" w:id="86"/>
    <w:p>
      <w:pPr>
        <w:spacing w:after="0"/>
        <w:ind w:left="0"/>
        <w:jc w:val="both"/>
      </w:pPr>
      <w:r>
        <w:rPr>
          <w:rFonts w:ascii="Times New Roman"/>
          <w:b w:val="false"/>
          <w:i w:val="false"/>
          <w:color w:val="000000"/>
          <w:sz w:val="28"/>
        </w:rPr>
        <w:t>
      narrowing and stenosis of the oesophagus that cannot be boughed;</w:t>
      </w:r>
    </w:p>
    <w:bookmarkEnd w:id="86"/>
    <w:bookmarkStart w:name="z89" w:id="87"/>
    <w:p>
      <w:pPr>
        <w:spacing w:after="0"/>
        <w:ind w:left="0"/>
        <w:jc w:val="both"/>
      </w:pPr>
      <w:r>
        <w:rPr>
          <w:rFonts w:ascii="Times New Roman"/>
          <w:b w:val="false"/>
          <w:i w:val="false"/>
          <w:color w:val="000000"/>
          <w:sz w:val="28"/>
        </w:rPr>
        <w:t>
      artificial oesophagus;</w:t>
      </w:r>
    </w:p>
    <w:bookmarkEnd w:id="87"/>
    <w:bookmarkStart w:name="z90" w:id="88"/>
    <w:p>
      <w:pPr>
        <w:spacing w:after="0"/>
        <w:ind w:left="0"/>
        <w:jc w:val="both"/>
      </w:pPr>
      <w:r>
        <w:rPr>
          <w:rFonts w:ascii="Times New Roman"/>
          <w:b w:val="false"/>
          <w:i w:val="false"/>
          <w:color w:val="000000"/>
          <w:sz w:val="28"/>
        </w:rPr>
        <w:t>
      gastric and duodenal ulcer with stenosis and bleeding history;</w:t>
      </w:r>
    </w:p>
    <w:bookmarkEnd w:id="88"/>
    <w:bookmarkStart w:name="z91" w:id="89"/>
    <w:p>
      <w:pPr>
        <w:spacing w:after="0"/>
        <w:ind w:left="0"/>
        <w:jc w:val="both"/>
      </w:pPr>
      <w:r>
        <w:rPr>
          <w:rFonts w:ascii="Times New Roman"/>
          <w:b w:val="false"/>
          <w:i w:val="false"/>
          <w:color w:val="000000"/>
          <w:sz w:val="28"/>
        </w:rPr>
        <w:t>
      large abdominal hernia with dilation of the anterior abdominal wall;</w:t>
      </w:r>
    </w:p>
    <w:bookmarkEnd w:id="89"/>
    <w:bookmarkStart w:name="z92" w:id="90"/>
    <w:p>
      <w:pPr>
        <w:spacing w:after="0"/>
        <w:ind w:left="0"/>
        <w:jc w:val="both"/>
      </w:pPr>
      <w:r>
        <w:rPr>
          <w:rFonts w:ascii="Times New Roman"/>
          <w:b w:val="false"/>
          <w:i w:val="false"/>
          <w:color w:val="000000"/>
          <w:sz w:val="28"/>
        </w:rPr>
        <w:t>
      infectious enteritis and colitis with intestinal bleeding, with frequent exacerbations in remission;</w:t>
      </w:r>
    </w:p>
    <w:bookmarkEnd w:id="90"/>
    <w:bookmarkStart w:name="z93" w:id="91"/>
    <w:p>
      <w:pPr>
        <w:spacing w:after="0"/>
        <w:ind w:left="0"/>
        <w:jc w:val="both"/>
      </w:pPr>
      <w:r>
        <w:rPr>
          <w:rFonts w:ascii="Times New Roman"/>
          <w:b w:val="false"/>
          <w:i w:val="false"/>
          <w:color w:val="000000"/>
          <w:sz w:val="28"/>
        </w:rPr>
        <w:t>
      operated stomach syndrome;</w:t>
      </w:r>
    </w:p>
    <w:bookmarkEnd w:id="91"/>
    <w:bookmarkStart w:name="z94" w:id="92"/>
    <w:p>
      <w:pPr>
        <w:spacing w:after="0"/>
        <w:ind w:left="0"/>
        <w:jc w:val="both"/>
      </w:pPr>
      <w:r>
        <w:rPr>
          <w:rFonts w:ascii="Times New Roman"/>
          <w:b w:val="false"/>
          <w:i w:val="false"/>
          <w:color w:val="000000"/>
          <w:sz w:val="28"/>
        </w:rPr>
        <w:t>
      chronic liver and biliary tract disease with dysfunction and cirrhosis;</w:t>
      </w:r>
    </w:p>
    <w:bookmarkEnd w:id="92"/>
    <w:bookmarkStart w:name="z95" w:id="93"/>
    <w:p>
      <w:pPr>
        <w:spacing w:after="0"/>
        <w:ind w:left="0"/>
        <w:jc w:val="both"/>
      </w:pPr>
      <w:r>
        <w:rPr>
          <w:rFonts w:ascii="Times New Roman"/>
          <w:b w:val="false"/>
          <w:i w:val="false"/>
          <w:color w:val="000000"/>
          <w:sz w:val="28"/>
        </w:rPr>
        <w:t>
      intestinal dysbacteriosis, severe form.</w:t>
      </w:r>
    </w:p>
    <w:bookmarkEnd w:id="93"/>
    <w:bookmarkStart w:name="z96" w:id="94"/>
    <w:p>
      <w:pPr>
        <w:spacing w:after="0"/>
        <w:ind w:left="0"/>
        <w:jc w:val="both"/>
      </w:pPr>
      <w:r>
        <w:rPr>
          <w:rFonts w:ascii="Times New Roman"/>
          <w:b w:val="false"/>
          <w:i w:val="false"/>
          <w:color w:val="000000"/>
          <w:sz w:val="28"/>
        </w:rPr>
        <w:t>
      10) diseases of the urogenital system:</w:t>
      </w:r>
    </w:p>
    <w:bookmarkEnd w:id="94"/>
    <w:bookmarkStart w:name="z97" w:id="95"/>
    <w:p>
      <w:pPr>
        <w:spacing w:after="0"/>
        <w:ind w:left="0"/>
        <w:jc w:val="both"/>
      </w:pPr>
      <w:r>
        <w:rPr>
          <w:rFonts w:ascii="Times New Roman"/>
          <w:b w:val="false"/>
          <w:i w:val="false"/>
          <w:color w:val="000000"/>
          <w:sz w:val="28"/>
        </w:rPr>
        <w:t>
      chronic recurrent glomerulonephritis;</w:t>
      </w:r>
    </w:p>
    <w:bookmarkEnd w:id="95"/>
    <w:bookmarkStart w:name="z98" w:id="96"/>
    <w:p>
      <w:pPr>
        <w:spacing w:after="0"/>
        <w:ind w:left="0"/>
        <w:jc w:val="both"/>
      </w:pPr>
      <w:r>
        <w:rPr>
          <w:rFonts w:ascii="Times New Roman"/>
          <w:b w:val="false"/>
          <w:i w:val="false"/>
          <w:color w:val="000000"/>
          <w:sz w:val="28"/>
        </w:rPr>
        <w:t>
      acute and chronic renal failure;</w:t>
      </w:r>
    </w:p>
    <w:bookmarkEnd w:id="96"/>
    <w:bookmarkStart w:name="z99" w:id="97"/>
    <w:p>
      <w:pPr>
        <w:spacing w:after="0"/>
        <w:ind w:left="0"/>
        <w:jc w:val="both"/>
      </w:pPr>
      <w:r>
        <w:rPr>
          <w:rFonts w:ascii="Times New Roman"/>
          <w:b w:val="false"/>
          <w:i w:val="false"/>
          <w:color w:val="000000"/>
          <w:sz w:val="28"/>
        </w:rPr>
        <w:t>
      renal parenchymal disease with renal and other organ dysfunction (persistent hypertension), chronic recurrent pyelonephritis of the single kidney;</w:t>
      </w:r>
    </w:p>
    <w:bookmarkEnd w:id="97"/>
    <w:bookmarkStart w:name="z100" w:id="98"/>
    <w:p>
      <w:pPr>
        <w:spacing w:after="0"/>
        <w:ind w:left="0"/>
        <w:jc w:val="both"/>
      </w:pPr>
      <w:r>
        <w:rPr>
          <w:rFonts w:ascii="Times New Roman"/>
          <w:b w:val="false"/>
          <w:i w:val="false"/>
          <w:color w:val="000000"/>
          <w:sz w:val="28"/>
        </w:rPr>
        <w:t>
      hydronephrosis (bilateral, single kidney, congenital) with renal dysfunction;</w:t>
      </w:r>
    </w:p>
    <w:bookmarkEnd w:id="98"/>
    <w:bookmarkStart w:name="z101" w:id="99"/>
    <w:p>
      <w:pPr>
        <w:spacing w:after="0"/>
        <w:ind w:left="0"/>
        <w:jc w:val="both"/>
      </w:pPr>
      <w:r>
        <w:rPr>
          <w:rFonts w:ascii="Times New Roman"/>
          <w:b w:val="false"/>
          <w:i w:val="false"/>
          <w:color w:val="000000"/>
          <w:sz w:val="28"/>
        </w:rPr>
        <w:t>
      polycystic kidney disease with renal insufficiency;</w:t>
      </w:r>
    </w:p>
    <w:bookmarkEnd w:id="99"/>
    <w:bookmarkStart w:name="z102" w:id="100"/>
    <w:p>
      <w:pPr>
        <w:spacing w:after="0"/>
        <w:ind w:left="0"/>
        <w:jc w:val="both"/>
      </w:pPr>
      <w:r>
        <w:rPr>
          <w:rFonts w:ascii="Times New Roman"/>
          <w:b w:val="false"/>
          <w:i w:val="false"/>
          <w:color w:val="000000"/>
          <w:sz w:val="28"/>
        </w:rPr>
        <w:t>
      fistulas with involvement of the female reproductive organs and conditions after operations for their correction.</w:t>
      </w:r>
    </w:p>
    <w:bookmarkEnd w:id="100"/>
    <w:bookmarkStart w:name="z103" w:id="101"/>
    <w:p>
      <w:pPr>
        <w:spacing w:after="0"/>
        <w:ind w:left="0"/>
        <w:jc w:val="both"/>
      </w:pPr>
      <w:r>
        <w:rPr>
          <w:rFonts w:ascii="Times New Roman"/>
          <w:b w:val="false"/>
          <w:i w:val="false"/>
          <w:color w:val="000000"/>
          <w:sz w:val="28"/>
        </w:rPr>
        <w:t>
      11) diseases of the musculoskeletal system and connective tissue:</w:t>
      </w:r>
    </w:p>
    <w:bookmarkEnd w:id="101"/>
    <w:bookmarkStart w:name="z104" w:id="102"/>
    <w:p>
      <w:pPr>
        <w:spacing w:after="0"/>
        <w:ind w:left="0"/>
        <w:jc w:val="both"/>
      </w:pPr>
      <w:r>
        <w:rPr>
          <w:rFonts w:ascii="Times New Roman"/>
          <w:b w:val="false"/>
          <w:i w:val="false"/>
          <w:color w:val="000000"/>
          <w:sz w:val="28"/>
        </w:rPr>
        <w:t>
      diffuse connective tissue disease;</w:t>
      </w:r>
    </w:p>
    <w:bookmarkEnd w:id="102"/>
    <w:bookmarkStart w:name="z105" w:id="103"/>
    <w:p>
      <w:pPr>
        <w:spacing w:after="0"/>
        <w:ind w:left="0"/>
        <w:jc w:val="both"/>
      </w:pPr>
      <w:r>
        <w:rPr>
          <w:rFonts w:ascii="Times New Roman"/>
          <w:b w:val="false"/>
          <w:i w:val="false"/>
          <w:color w:val="000000"/>
          <w:sz w:val="28"/>
        </w:rPr>
        <w:t>
      rheumatoid arthritis with severe joint dysfunction and other inflammatory arthropathies without exacerbation;</w:t>
      </w:r>
    </w:p>
    <w:bookmarkEnd w:id="103"/>
    <w:bookmarkStart w:name="z106" w:id="104"/>
    <w:p>
      <w:pPr>
        <w:spacing w:after="0"/>
        <w:ind w:left="0"/>
        <w:jc w:val="both"/>
      </w:pPr>
      <w:r>
        <w:rPr>
          <w:rFonts w:ascii="Times New Roman"/>
          <w:b w:val="false"/>
          <w:i w:val="false"/>
          <w:color w:val="000000"/>
          <w:sz w:val="28"/>
        </w:rPr>
        <w:t>
      musculoskeletal disorders (ankylosing spondylitis; osteochondropathy);</w:t>
      </w:r>
    </w:p>
    <w:bookmarkEnd w:id="104"/>
    <w:bookmarkStart w:name="z107" w:id="105"/>
    <w:p>
      <w:pPr>
        <w:spacing w:after="0"/>
        <w:ind w:left="0"/>
        <w:jc w:val="both"/>
      </w:pPr>
      <w:r>
        <w:rPr>
          <w:rFonts w:ascii="Times New Roman"/>
          <w:b w:val="false"/>
          <w:i w:val="false"/>
          <w:color w:val="000000"/>
          <w:sz w:val="28"/>
        </w:rPr>
        <w:t>
      amputation of leg, foot (total amputation).</w:t>
      </w:r>
    </w:p>
    <w:bookmarkEnd w:id="105"/>
    <w:bookmarkStart w:name="z108" w:id="106"/>
    <w:p>
      <w:pPr>
        <w:spacing w:after="0"/>
        <w:ind w:left="0"/>
        <w:jc w:val="both"/>
      </w:pPr>
      <w:r>
        <w:rPr>
          <w:rFonts w:ascii="Times New Roman"/>
          <w:b w:val="false"/>
          <w:i w:val="false"/>
          <w:color w:val="000000"/>
          <w:sz w:val="28"/>
        </w:rPr>
        <w:t>
      12) monogenic hereditary diseases in the absence of prenatal molecular genetic diagnosis.</w:t>
      </w:r>
    </w:p>
    <w:bookmarkEnd w:id="106"/>
    <w:bookmarkStart w:name="z109" w:id="107"/>
    <w:p>
      <w:pPr>
        <w:spacing w:after="0"/>
        <w:ind w:left="0"/>
        <w:jc w:val="both"/>
      </w:pPr>
      <w:r>
        <w:rPr>
          <w:rFonts w:ascii="Times New Roman"/>
          <w:b w:val="false"/>
          <w:i w:val="false"/>
          <w:color w:val="000000"/>
          <w:sz w:val="28"/>
        </w:rPr>
        <w:t>
      15. Contraindications for surgical sterilisation:</w:t>
      </w:r>
    </w:p>
    <w:bookmarkEnd w:id="107"/>
    <w:bookmarkStart w:name="z110" w:id="108"/>
    <w:p>
      <w:pPr>
        <w:spacing w:after="0"/>
        <w:ind w:left="0"/>
        <w:jc w:val="both"/>
      </w:pPr>
      <w:r>
        <w:rPr>
          <w:rFonts w:ascii="Times New Roman"/>
          <w:b w:val="false"/>
          <w:i w:val="false"/>
          <w:color w:val="000000"/>
          <w:sz w:val="28"/>
        </w:rPr>
        <w:t>
      1) acute (or acute chronic) infectious diseases of any localisation;</w:t>
      </w:r>
    </w:p>
    <w:bookmarkEnd w:id="108"/>
    <w:bookmarkStart w:name="z111" w:id="109"/>
    <w:p>
      <w:pPr>
        <w:spacing w:after="0"/>
        <w:ind w:left="0"/>
        <w:jc w:val="both"/>
      </w:pPr>
      <w:r>
        <w:rPr>
          <w:rFonts w:ascii="Times New Roman"/>
          <w:b w:val="false"/>
          <w:i w:val="false"/>
          <w:color w:val="000000"/>
          <w:sz w:val="28"/>
        </w:rPr>
        <w:t>
      2) acute (or acute chronic) inflammatory diseases of any localization;</w:t>
      </w:r>
    </w:p>
    <w:bookmarkEnd w:id="109"/>
    <w:bookmarkStart w:name="z112" w:id="110"/>
    <w:p>
      <w:pPr>
        <w:spacing w:after="0"/>
        <w:ind w:left="0"/>
        <w:jc w:val="both"/>
      </w:pPr>
      <w:r>
        <w:rPr>
          <w:rFonts w:ascii="Times New Roman"/>
          <w:b w:val="false"/>
          <w:i w:val="false"/>
          <w:color w:val="000000"/>
          <w:sz w:val="28"/>
        </w:rPr>
        <w:t>
      3) chronic diseases of vital organs in decompensation stage;</w:t>
      </w:r>
    </w:p>
    <w:bookmarkEnd w:id="110"/>
    <w:bookmarkStart w:name="z113" w:id="111"/>
    <w:p>
      <w:pPr>
        <w:spacing w:after="0"/>
        <w:ind w:left="0"/>
        <w:jc w:val="both"/>
      </w:pPr>
      <w:r>
        <w:rPr>
          <w:rFonts w:ascii="Times New Roman"/>
          <w:b w:val="false"/>
          <w:i w:val="false"/>
          <w:color w:val="000000"/>
          <w:sz w:val="28"/>
        </w:rPr>
        <w:t>
      4) haemodynamic disorders in diseases of the cardiovascular system;</w:t>
      </w:r>
    </w:p>
    <w:bookmarkEnd w:id="111"/>
    <w:bookmarkStart w:name="z114" w:id="112"/>
    <w:p>
      <w:pPr>
        <w:spacing w:after="0"/>
        <w:ind w:left="0"/>
        <w:jc w:val="both"/>
      </w:pPr>
      <w:r>
        <w:rPr>
          <w:rFonts w:ascii="Times New Roman"/>
          <w:b w:val="false"/>
          <w:i w:val="false"/>
          <w:color w:val="000000"/>
          <w:sz w:val="28"/>
        </w:rPr>
        <w:t>
      5) haematological disorders in diseases of the blood and haematopoietic organs.</w:t>
      </w:r>
    </w:p>
    <w:bookmarkEnd w:id="1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