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12f2" w14:textId="d0f1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advertising products (goods) subject to state registration controlled by the State sanitary and epidemiological control and supervision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Healthcare of the Republic of Kazakhstan dated October 27, 2020 No. ҚР ДСМ-160/2020. Registered with the Ministry of Justice of the Republic of Kazakhstan on October 30, 2020 No. 21544.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Acting Minister of Healthcare of the Republic of Kazakhstan dated 27.06.2024 № 36 (shall be enforced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paragraph 1 of Article 56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Healthcare of the Republic of Kazakhstan dated 27.06.2024 № 36 (shall be enforced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advertising products (goods) subject to state registration controlled by the State sanitary and epidemiological control and supervision.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Acting Minister of Healthcare of the Republic of Kazakhstan dated 27.06.2024 № 36 (shall be enforced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To recognize as terminated Order of the Minister of National Economy of the Republic of Kazakhstan dated June 24, 2016 № 284 "On Approval of the Rules for Advertising Biologically Active Food Supplements" (registered in the State Registration Register of Regulatory Legal Acts under № 13998, published on August 11, 2016 in the legal information system Adilet).</w:t>
      </w:r>
    </w:p>
    <w:bookmarkEnd w:id="2"/>
    <w:bookmarkStart w:name="z8" w:id="3"/>
    <w:p>
      <w:pPr>
        <w:spacing w:after="0"/>
        <w:ind w:left="0"/>
        <w:jc w:val="both"/>
      </w:pPr>
      <w:r>
        <w:rPr>
          <w:rFonts w:ascii="Times New Roman"/>
          <w:b w:val="false"/>
          <w:i w:val="false"/>
          <w:color w:val="000000"/>
          <w:sz w:val="28"/>
        </w:rPr>
        <w:t>
      3. The Committee for Sanitary and Epidemiological Control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the submission to the Legal Department of the Ministry of Healthcare of the Republic of Kazakhstan the information on the implementation of measures provided for in subparagraphs 1) and 2) of this paragraph.</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7"/>
    <w:bookmarkStart w:name="z13" w:id="8"/>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Shoranov </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Information and</w:t>
      </w:r>
    </w:p>
    <w:p>
      <w:pPr>
        <w:spacing w:after="0"/>
        <w:ind w:left="0"/>
        <w:jc w:val="both"/>
      </w:pPr>
      <w:r>
        <w:rPr>
          <w:rFonts w:ascii="Times New Roman"/>
          <w:b w:val="false"/>
          <w:i w:val="false"/>
          <w:color w:val="000000"/>
          <w:sz w:val="28"/>
        </w:rPr>
        <w:t>Social Development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Acting</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October 27, 2020</w:t>
            </w:r>
            <w:r>
              <w:br/>
            </w:r>
            <w:r>
              <w:rPr>
                <w:rFonts w:ascii="Times New Roman"/>
                <w:b w:val="false"/>
                <w:i w:val="false"/>
                <w:color w:val="000000"/>
                <w:sz w:val="20"/>
              </w:rPr>
              <w:t>number ҚР ДСМ -160/2020</w:t>
            </w:r>
          </w:p>
        </w:tc>
      </w:tr>
    </w:tbl>
    <w:bookmarkStart w:name="z17" w:id="10"/>
    <w:p>
      <w:pPr>
        <w:spacing w:after="0"/>
        <w:ind w:left="0"/>
        <w:jc w:val="left"/>
      </w:pPr>
      <w:r>
        <w:rPr>
          <w:rFonts w:ascii="Times New Roman"/>
          <w:b/>
          <w:i w:val="false"/>
          <w:color w:val="000000"/>
        </w:rPr>
        <w:t xml:space="preserve"> Rules for advertising products (goods) subject to state registration controlled by the State sanitary and epidemiological control and supervision</w:t>
      </w:r>
    </w:p>
    <w:bookmarkEnd w:id="10"/>
    <w:p>
      <w:pPr>
        <w:spacing w:after="0"/>
        <w:ind w:left="0"/>
        <w:jc w:val="both"/>
      </w:pPr>
      <w:r>
        <w:rPr>
          <w:rFonts w:ascii="Times New Roman"/>
          <w:b w:val="false"/>
          <w:i w:val="false"/>
          <w:color w:val="ff0000"/>
          <w:sz w:val="28"/>
        </w:rPr>
        <w:t>
      Footnote. The rules are in the wording of the order of the Acting Minister of Healthcare of the Republic of Kazakhstan dated 27.06.2024 № 36 (shall be enforced upon expiry of ten calendar days after the day of its first official publication).</w:t>
      </w:r>
    </w:p>
    <w:bookmarkStart w:name="z21" w:id="11"/>
    <w:p>
      <w:pPr>
        <w:spacing w:after="0"/>
        <w:ind w:left="0"/>
        <w:jc w:val="left"/>
      </w:pPr>
      <w:r>
        <w:rPr>
          <w:rFonts w:ascii="Times New Roman"/>
          <w:b/>
          <w:i w:val="false"/>
          <w:color w:val="000000"/>
        </w:rPr>
        <w:t xml:space="preserve"> Chapter 1. General provisions</w:t>
      </w:r>
    </w:p>
    <w:bookmarkEnd w:id="11"/>
    <w:p>
      <w:pPr>
        <w:spacing w:after="0"/>
        <w:ind w:left="0"/>
        <w:jc w:val="both"/>
      </w:pPr>
      <w:r>
        <w:rPr>
          <w:rFonts w:ascii="Times New Roman"/>
          <w:b w:val="false"/>
          <w:i w:val="false"/>
          <w:color w:val="000000"/>
          <w:sz w:val="28"/>
        </w:rPr>
        <w:t>
      1. These Rules for advertising products (goods) subject to state registration controlled by the State sanitary and epidemiological control and supervision (hereinafter - the Rules) have been developed in accordance with paragraph 1 of Article 56 of the Code of the Republic of Kazakhstan "On Public Health and the Healthcare System" and shall determine the procedure for advertising products (goods) subject to state registration controlled by the State sanitary and epidemiological control and supervision, in the Republic of Kazakhstan, as well as the specifics of advertising individual products (goods) subject to state registration.</w:t>
      </w:r>
    </w:p>
    <w:p>
      <w:pPr>
        <w:spacing w:after="0"/>
        <w:ind w:left="0"/>
        <w:jc w:val="both"/>
      </w:pPr>
      <w:r>
        <w:rPr>
          <w:rFonts w:ascii="Times New Roman"/>
          <w:b w:val="false"/>
          <w:i w:val="false"/>
          <w:color w:val="000000"/>
          <w:sz w:val="28"/>
        </w:rPr>
        <w:t>
      2. These Rules shall apply to the advertising of following products (goods):</w:t>
      </w:r>
    </w:p>
    <w:p>
      <w:pPr>
        <w:spacing w:after="0"/>
        <w:ind w:left="0"/>
        <w:jc w:val="both"/>
      </w:pPr>
      <w:r>
        <w:rPr>
          <w:rFonts w:ascii="Times New Roman"/>
          <w:b w:val="false"/>
          <w:i w:val="false"/>
          <w:color w:val="000000"/>
          <w:sz w:val="28"/>
        </w:rPr>
        <w:t>
      1) food products for baby nutrition, including drinking water for baby nutrition;</w:t>
      </w:r>
    </w:p>
    <w:p>
      <w:pPr>
        <w:spacing w:after="0"/>
        <w:ind w:left="0"/>
        <w:jc w:val="both"/>
      </w:pPr>
      <w:r>
        <w:rPr>
          <w:rFonts w:ascii="Times New Roman"/>
          <w:b w:val="false"/>
          <w:i w:val="false"/>
          <w:color w:val="000000"/>
          <w:sz w:val="28"/>
        </w:rPr>
        <w:t>
      2) food products for dietary therapeutic and dietary preventive nutrition;</w:t>
      </w:r>
    </w:p>
    <w:p>
      <w:pPr>
        <w:spacing w:after="0"/>
        <w:ind w:left="0"/>
        <w:jc w:val="both"/>
      </w:pPr>
      <w:r>
        <w:rPr>
          <w:rFonts w:ascii="Times New Roman"/>
          <w:b w:val="false"/>
          <w:i w:val="false"/>
          <w:color w:val="000000"/>
          <w:sz w:val="28"/>
        </w:rPr>
        <w:t>
      3) therapeutic table and therapeutic natural mineral water;</w:t>
      </w:r>
    </w:p>
    <w:p>
      <w:pPr>
        <w:spacing w:after="0"/>
        <w:ind w:left="0"/>
        <w:jc w:val="both"/>
      </w:pPr>
      <w:r>
        <w:rPr>
          <w:rFonts w:ascii="Times New Roman"/>
          <w:b w:val="false"/>
          <w:i w:val="false"/>
          <w:color w:val="000000"/>
          <w:sz w:val="28"/>
        </w:rPr>
        <w:t>
      4) food products for the nutrition of athletes, pregnant and lactating women;</w:t>
      </w:r>
    </w:p>
    <w:p>
      <w:pPr>
        <w:spacing w:after="0"/>
        <w:ind w:left="0"/>
        <w:jc w:val="both"/>
      </w:pPr>
      <w:r>
        <w:rPr>
          <w:rFonts w:ascii="Times New Roman"/>
          <w:b w:val="false"/>
          <w:i w:val="false"/>
          <w:color w:val="000000"/>
          <w:sz w:val="28"/>
        </w:rPr>
        <w:t>
      5) biologically active food supplements (hereinafter - BAS);</w:t>
      </w:r>
    </w:p>
    <w:p>
      <w:pPr>
        <w:spacing w:after="0"/>
        <w:ind w:left="0"/>
        <w:jc w:val="both"/>
      </w:pPr>
      <w:r>
        <w:rPr>
          <w:rFonts w:ascii="Times New Roman"/>
          <w:b w:val="false"/>
          <w:i w:val="false"/>
          <w:color w:val="000000"/>
          <w:sz w:val="28"/>
        </w:rPr>
        <w:t>
      6) perfumery and cosmetic products for artificial tanning;</w:t>
      </w:r>
    </w:p>
    <w:p>
      <w:pPr>
        <w:spacing w:after="0"/>
        <w:ind w:left="0"/>
        <w:jc w:val="both"/>
      </w:pPr>
      <w:r>
        <w:rPr>
          <w:rFonts w:ascii="Times New Roman"/>
          <w:b w:val="false"/>
          <w:i w:val="false"/>
          <w:color w:val="000000"/>
          <w:sz w:val="28"/>
        </w:rPr>
        <w:t>
      7) perfumery and cosmetic products for skin whitening (lightening);</w:t>
      </w:r>
    </w:p>
    <w:p>
      <w:pPr>
        <w:spacing w:after="0"/>
        <w:ind w:left="0"/>
        <w:jc w:val="both"/>
      </w:pPr>
      <w:r>
        <w:rPr>
          <w:rFonts w:ascii="Times New Roman"/>
          <w:b w:val="false"/>
          <w:i w:val="false"/>
          <w:color w:val="000000"/>
          <w:sz w:val="28"/>
        </w:rPr>
        <w:t>
      8) cosmetics for tattooing;</w:t>
      </w:r>
    </w:p>
    <w:p>
      <w:pPr>
        <w:spacing w:after="0"/>
        <w:ind w:left="0"/>
        <w:jc w:val="both"/>
      </w:pPr>
      <w:r>
        <w:rPr>
          <w:rFonts w:ascii="Times New Roman"/>
          <w:b w:val="false"/>
          <w:i w:val="false"/>
          <w:color w:val="000000"/>
          <w:sz w:val="28"/>
        </w:rPr>
        <w:t>
      9) intimate cosmetics;</w:t>
      </w:r>
    </w:p>
    <w:p>
      <w:pPr>
        <w:spacing w:after="0"/>
        <w:ind w:left="0"/>
        <w:jc w:val="both"/>
      </w:pPr>
      <w:r>
        <w:rPr>
          <w:rFonts w:ascii="Times New Roman"/>
          <w:b w:val="false"/>
          <w:i w:val="false"/>
          <w:color w:val="000000"/>
          <w:sz w:val="28"/>
        </w:rPr>
        <w:t>
      10) perfumery and cosmetic products for individual skin protection from the effects of harmful production factors;</w:t>
      </w:r>
    </w:p>
    <w:p>
      <w:pPr>
        <w:spacing w:after="0"/>
        <w:ind w:left="0"/>
        <w:jc w:val="both"/>
      </w:pPr>
      <w:r>
        <w:rPr>
          <w:rFonts w:ascii="Times New Roman"/>
          <w:b w:val="false"/>
          <w:i w:val="false"/>
          <w:color w:val="000000"/>
          <w:sz w:val="28"/>
        </w:rPr>
        <w:t>
      11) children's cosmetics;</w:t>
      </w:r>
    </w:p>
    <w:p>
      <w:pPr>
        <w:spacing w:after="0"/>
        <w:ind w:left="0"/>
        <w:jc w:val="both"/>
      </w:pPr>
      <w:r>
        <w:rPr>
          <w:rFonts w:ascii="Times New Roman"/>
          <w:b w:val="false"/>
          <w:i w:val="false"/>
          <w:color w:val="000000"/>
          <w:sz w:val="28"/>
        </w:rPr>
        <w:t>
      12) perfumery and cosmetic products for chemical hair coloring, lightening and highlighting;</w:t>
      </w:r>
    </w:p>
    <w:p>
      <w:pPr>
        <w:spacing w:after="0"/>
        <w:ind w:left="0"/>
        <w:jc w:val="both"/>
      </w:pPr>
      <w:r>
        <w:rPr>
          <w:rFonts w:ascii="Times New Roman"/>
          <w:b w:val="false"/>
          <w:i w:val="false"/>
          <w:color w:val="000000"/>
          <w:sz w:val="28"/>
        </w:rPr>
        <w:t>
      13) perfumery and cosmetic products for chemical hair curling and straightening;</w:t>
      </w:r>
    </w:p>
    <w:p>
      <w:pPr>
        <w:spacing w:after="0"/>
        <w:ind w:left="0"/>
        <w:jc w:val="both"/>
      </w:pPr>
      <w:r>
        <w:rPr>
          <w:rFonts w:ascii="Times New Roman"/>
          <w:b w:val="false"/>
          <w:i w:val="false"/>
          <w:color w:val="000000"/>
          <w:sz w:val="28"/>
        </w:rPr>
        <w:t>
      14) perfumery and cosmetic products manufactured using nanomaterials;</w:t>
      </w:r>
    </w:p>
    <w:p>
      <w:pPr>
        <w:spacing w:after="0"/>
        <w:ind w:left="0"/>
        <w:jc w:val="both"/>
      </w:pPr>
      <w:r>
        <w:rPr>
          <w:rFonts w:ascii="Times New Roman"/>
          <w:b w:val="false"/>
          <w:i w:val="false"/>
          <w:color w:val="000000"/>
          <w:sz w:val="28"/>
        </w:rPr>
        <w:t>
      15) perfumery and cosmetic products for depilation;</w:t>
      </w:r>
    </w:p>
    <w:p>
      <w:pPr>
        <w:spacing w:after="0"/>
        <w:ind w:left="0"/>
        <w:jc w:val="both"/>
      </w:pPr>
      <w:r>
        <w:rPr>
          <w:rFonts w:ascii="Times New Roman"/>
          <w:b w:val="false"/>
          <w:i w:val="false"/>
          <w:color w:val="000000"/>
          <w:sz w:val="28"/>
        </w:rPr>
        <w:t>
      16) peelings;</w:t>
      </w:r>
    </w:p>
    <w:p>
      <w:pPr>
        <w:spacing w:after="0"/>
        <w:ind w:left="0"/>
        <w:jc w:val="both"/>
      </w:pPr>
      <w:r>
        <w:rPr>
          <w:rFonts w:ascii="Times New Roman"/>
          <w:b w:val="false"/>
          <w:i w:val="false"/>
          <w:color w:val="000000"/>
          <w:sz w:val="28"/>
        </w:rPr>
        <w:t>
      17) fluoride-containing oral hygiene products, the mass fraction of fluorides in which exceeds 0.15% (for liquid oral hygiene products - 0.05%) (in terms of the molar mass of fluorine);</w:t>
      </w:r>
    </w:p>
    <w:p>
      <w:pPr>
        <w:spacing w:after="0"/>
        <w:ind w:left="0"/>
        <w:jc w:val="both"/>
      </w:pPr>
      <w:r>
        <w:rPr>
          <w:rFonts w:ascii="Times New Roman"/>
          <w:b w:val="false"/>
          <w:i w:val="false"/>
          <w:color w:val="000000"/>
          <w:sz w:val="28"/>
        </w:rPr>
        <w:t>
      18) teeth whitening products containing hydrogen peroxide or other components that release hydrogen peroxide, including carbamide peroxide and zinc peroxide, with a concentration of hydrogen peroxide (as an ingredient or released) of 0.1% - 6.0%;</w:t>
      </w:r>
    </w:p>
    <w:p>
      <w:pPr>
        <w:spacing w:after="0"/>
        <w:ind w:left="0"/>
        <w:jc w:val="both"/>
      </w:pPr>
      <w:r>
        <w:rPr>
          <w:rFonts w:ascii="Times New Roman"/>
          <w:b w:val="false"/>
          <w:i w:val="false"/>
          <w:color w:val="000000"/>
          <w:sz w:val="28"/>
        </w:rPr>
        <w:t>
      19) disinfectants, disinfestation and deratization agents (for the use in everyday life, in medical and preventive institutions and at other facilities (except for those used in veterinary medicine and repellent agents related to personal protective equipment dermatological from the effects of biological factors (insects), used in industrial production conditions));</w:t>
      </w:r>
    </w:p>
    <w:p>
      <w:pPr>
        <w:spacing w:after="0"/>
        <w:ind w:left="0"/>
        <w:jc w:val="both"/>
      </w:pPr>
      <w:r>
        <w:rPr>
          <w:rFonts w:ascii="Times New Roman"/>
          <w:b w:val="false"/>
          <w:i w:val="false"/>
          <w:color w:val="000000"/>
          <w:sz w:val="28"/>
        </w:rPr>
        <w:t>
      20) products (goods) of household chemicals, paints and varnishes;</w:t>
      </w:r>
    </w:p>
    <w:p>
      <w:pPr>
        <w:spacing w:after="0"/>
        <w:ind w:left="0"/>
        <w:jc w:val="both"/>
      </w:pPr>
      <w:r>
        <w:rPr>
          <w:rFonts w:ascii="Times New Roman"/>
          <w:b w:val="false"/>
          <w:i w:val="false"/>
          <w:color w:val="000000"/>
          <w:sz w:val="28"/>
        </w:rPr>
        <w:t>
      21) potentially hazardous chemical and biological substances and preparations made on their basis that pose a potential hazard to humans (except for medicines and pesticides), individual substances (compounds) of natural or artificial origin that, under conditions of production, use, transportation, processing, as well as in everyday conditions, can have an adverse effect on human health and the environment;</w:t>
      </w:r>
    </w:p>
    <w:p>
      <w:pPr>
        <w:spacing w:after="0"/>
        <w:ind w:left="0"/>
        <w:jc w:val="both"/>
      </w:pPr>
      <w:r>
        <w:rPr>
          <w:rFonts w:ascii="Times New Roman"/>
          <w:b w:val="false"/>
          <w:i w:val="false"/>
          <w:color w:val="000000"/>
          <w:sz w:val="28"/>
        </w:rPr>
        <w:t>
      22) materials, equipment, devices and other technical means of water treatment intended for the use in domestic and drinking water supply systems;</w:t>
      </w:r>
    </w:p>
    <w:p>
      <w:pPr>
        <w:spacing w:after="0"/>
        <w:ind w:left="0"/>
        <w:jc w:val="both"/>
      </w:pPr>
      <w:r>
        <w:rPr>
          <w:rFonts w:ascii="Times New Roman"/>
          <w:b w:val="false"/>
          <w:i w:val="false"/>
          <w:color w:val="000000"/>
          <w:sz w:val="28"/>
        </w:rPr>
        <w:t>
      23) personal hygiene items for adults;</w:t>
      </w:r>
    </w:p>
    <w:p>
      <w:pPr>
        <w:spacing w:after="0"/>
        <w:ind w:left="0"/>
        <w:jc w:val="both"/>
      </w:pPr>
      <w:r>
        <w:rPr>
          <w:rFonts w:ascii="Times New Roman"/>
          <w:b w:val="false"/>
          <w:i w:val="false"/>
          <w:color w:val="000000"/>
          <w:sz w:val="28"/>
        </w:rPr>
        <w:t>
      24) products intended for contact with food products (except for tableware, cutlery, technological equipment and packaging (closures));</w:t>
      </w:r>
    </w:p>
    <w:p>
      <w:pPr>
        <w:spacing w:after="0"/>
        <w:ind w:left="0"/>
        <w:jc w:val="both"/>
      </w:pPr>
      <w:r>
        <w:rPr>
          <w:rFonts w:ascii="Times New Roman"/>
          <w:b w:val="false"/>
          <w:i w:val="false"/>
          <w:color w:val="000000"/>
          <w:sz w:val="28"/>
        </w:rPr>
        <w:t>
      25) milk nipples, pacifiers made of latex, rubber or silicone;</w:t>
      </w:r>
    </w:p>
    <w:p>
      <w:pPr>
        <w:spacing w:after="0"/>
        <w:ind w:left="0"/>
        <w:jc w:val="both"/>
      </w:pPr>
      <w:r>
        <w:rPr>
          <w:rFonts w:ascii="Times New Roman"/>
          <w:b w:val="false"/>
          <w:i w:val="false"/>
          <w:color w:val="000000"/>
          <w:sz w:val="28"/>
        </w:rPr>
        <w:t>
      26) disposable sanitary and hygienic products (multilayer products containing moisture-absorbing materials (diapers, panties and nappies), as well as hygienic cotton swabs (for the nose and ears) and other similar products for child care);</w:t>
      </w:r>
    </w:p>
    <w:p>
      <w:pPr>
        <w:spacing w:after="0"/>
        <w:ind w:left="0"/>
        <w:jc w:val="both"/>
      </w:pPr>
      <w:r>
        <w:rPr>
          <w:rFonts w:ascii="Times New Roman"/>
          <w:b w:val="false"/>
          <w:i w:val="false"/>
          <w:color w:val="000000"/>
          <w:sz w:val="28"/>
        </w:rPr>
        <w:t>
      27) tableware and cutlery (cups, saucers, sippy cups, plates, bowls, spoons, forks, knives, bottles and other similar children's food products) made of plastic, glass, metal, ceramic tableware (earthenware, glass ceramic, pottery and majolica), disposable tableware (made of paper, cardboard and plastic) for children under 3 years of age;</w:t>
      </w:r>
    </w:p>
    <w:p>
      <w:pPr>
        <w:spacing w:after="0"/>
        <w:ind w:left="0"/>
        <w:jc w:val="both"/>
      </w:pPr>
      <w:r>
        <w:rPr>
          <w:rFonts w:ascii="Times New Roman"/>
          <w:b w:val="false"/>
          <w:i w:val="false"/>
          <w:color w:val="000000"/>
          <w:sz w:val="28"/>
        </w:rPr>
        <w:t>
      28) toothbrushes, electric toothbrushes powered by chemical current sources, gum massagers and other similar products;</w:t>
      </w:r>
    </w:p>
    <w:p>
      <w:pPr>
        <w:spacing w:after="0"/>
        <w:ind w:left="0"/>
        <w:jc w:val="both"/>
      </w:pPr>
      <w:r>
        <w:rPr>
          <w:rFonts w:ascii="Times New Roman"/>
          <w:b w:val="false"/>
          <w:i w:val="false"/>
          <w:color w:val="000000"/>
          <w:sz w:val="28"/>
        </w:rPr>
        <w:t>
      29) 1st layer products, underwear (body and bathing) knitted and made of textile materials for children under 3 years of age;</w:t>
      </w:r>
    </w:p>
    <w:p>
      <w:pPr>
        <w:spacing w:after="0"/>
        <w:ind w:left="0"/>
        <w:jc w:val="both"/>
      </w:pPr>
      <w:r>
        <w:rPr>
          <w:rFonts w:ascii="Times New Roman"/>
          <w:b w:val="false"/>
          <w:i w:val="false"/>
          <w:color w:val="000000"/>
          <w:sz w:val="28"/>
        </w:rPr>
        <w:t>
      30) 1st layer knitted hosiery for children under 3 years of age;</w:t>
      </w:r>
    </w:p>
    <w:p>
      <w:pPr>
        <w:spacing w:after="0"/>
        <w:ind w:left="0"/>
        <w:jc w:val="both"/>
      </w:pPr>
      <w:r>
        <w:rPr>
          <w:rFonts w:ascii="Times New Roman"/>
          <w:b w:val="false"/>
          <w:i w:val="false"/>
          <w:color w:val="000000"/>
          <w:sz w:val="28"/>
        </w:rPr>
        <w:t>
      31) headwear (summer) of the 1st layer of knitted and textile materials for children under 3 years of age;</w:t>
      </w:r>
    </w:p>
    <w:p>
      <w:pPr>
        <w:spacing w:after="0"/>
        <w:ind w:left="0"/>
        <w:jc w:val="both"/>
      </w:pPr>
      <w:r>
        <w:rPr>
          <w:rFonts w:ascii="Times New Roman"/>
          <w:b w:val="false"/>
          <w:i w:val="false"/>
          <w:color w:val="000000"/>
          <w:sz w:val="28"/>
        </w:rPr>
        <w:t>
      32) other products (goods) for which the technical regulations and (or) unified sanitary, epidemiological and hygienic requirements of the Eurasian Economic Union establish conformity assessment in the form of registration (state registration).</w:t>
      </w:r>
    </w:p>
    <w:p>
      <w:pPr>
        <w:spacing w:after="0"/>
        <w:ind w:left="0"/>
        <w:jc w:val="left"/>
      </w:pPr>
      <w:r>
        <w:rPr>
          <w:rFonts w:ascii="Times New Roman"/>
          <w:b/>
          <w:i w:val="false"/>
          <w:color w:val="000000"/>
        </w:rPr>
        <w:t xml:space="preserve"> Chapter 2. Procedure for advertising products (goods)</w:t>
      </w:r>
    </w:p>
    <w:p>
      <w:pPr>
        <w:spacing w:after="0"/>
        <w:ind w:left="0"/>
        <w:jc w:val="both"/>
      </w:pPr>
      <w:r>
        <w:rPr>
          <w:rFonts w:ascii="Times New Roman"/>
          <w:b w:val="false"/>
          <w:i w:val="false"/>
          <w:color w:val="000000"/>
          <w:sz w:val="28"/>
        </w:rPr>
        <w:t>
      3. Advertising of products (goods) shall be carried out in accordance with the following requirements:</w:t>
      </w:r>
    </w:p>
    <w:p>
      <w:pPr>
        <w:spacing w:after="0"/>
        <w:ind w:left="0"/>
        <w:jc w:val="both"/>
      </w:pPr>
      <w:r>
        <w:rPr>
          <w:rFonts w:ascii="Times New Roman"/>
          <w:b w:val="false"/>
          <w:i w:val="false"/>
          <w:color w:val="000000"/>
          <w:sz w:val="28"/>
        </w:rPr>
        <w:t>
      1) advertising on the territory of the Republic of Kazakhstan (except for periodicals, Internet resources, news agencies) is distributed in the Kazakh language, and at the discretion of the advertiser also in Russian and (or) other languages;</w:t>
      </w:r>
    </w:p>
    <w:p>
      <w:pPr>
        <w:spacing w:after="0"/>
        <w:ind w:left="0"/>
        <w:jc w:val="both"/>
      </w:pPr>
      <w:r>
        <w:rPr>
          <w:rFonts w:ascii="Times New Roman"/>
          <w:b w:val="false"/>
          <w:i w:val="false"/>
          <w:color w:val="000000"/>
          <w:sz w:val="28"/>
        </w:rPr>
        <w:t>
      2) text advertising is readable, printed in a clear and legible font; audio advertising is placed with clear and understandable audio accompaniment; video advertising is placed with clear and understandable audio and video accompaniment;</w:t>
      </w:r>
    </w:p>
    <w:p>
      <w:pPr>
        <w:spacing w:after="0"/>
        <w:ind w:left="0"/>
        <w:jc w:val="both"/>
      </w:pPr>
      <w:r>
        <w:rPr>
          <w:rFonts w:ascii="Times New Roman"/>
          <w:b w:val="false"/>
          <w:i w:val="false"/>
          <w:color w:val="000000"/>
          <w:sz w:val="28"/>
        </w:rPr>
        <w:t>
      3) is reliable and recognizable;</w:t>
      </w:r>
    </w:p>
    <w:p>
      <w:pPr>
        <w:spacing w:after="0"/>
        <w:ind w:left="0"/>
        <w:jc w:val="both"/>
      </w:pPr>
      <w:r>
        <w:rPr>
          <w:rFonts w:ascii="Times New Roman"/>
          <w:b w:val="false"/>
          <w:i w:val="false"/>
          <w:color w:val="000000"/>
          <w:sz w:val="28"/>
        </w:rPr>
        <w:t>
      4) does not mislead consumers by abusing their trust, including with respect to the characteristics, composition, consumer properties, cost (price), expected results of use, research and test results;</w:t>
      </w:r>
    </w:p>
    <w:p>
      <w:pPr>
        <w:spacing w:after="0"/>
        <w:ind w:left="0"/>
        <w:jc w:val="both"/>
      </w:pPr>
      <w:r>
        <w:rPr>
          <w:rFonts w:ascii="Times New Roman"/>
          <w:b w:val="false"/>
          <w:i w:val="false"/>
          <w:color w:val="000000"/>
          <w:sz w:val="28"/>
        </w:rPr>
        <w:t>
      5) contains the trade name of the product (goods) and the name of the manufacturer;</w:t>
      </w:r>
    </w:p>
    <w:p>
      <w:pPr>
        <w:spacing w:after="0"/>
        <w:ind w:left="0"/>
        <w:jc w:val="both"/>
      </w:pPr>
      <w:r>
        <w:rPr>
          <w:rFonts w:ascii="Times New Roman"/>
          <w:b w:val="false"/>
          <w:i w:val="false"/>
          <w:color w:val="000000"/>
          <w:sz w:val="28"/>
        </w:rPr>
        <w:t>
      6) contains information about the purpose of the product (goods), if this does not follow from the name of the product (goods);</w:t>
      </w:r>
    </w:p>
    <w:p>
      <w:pPr>
        <w:spacing w:after="0"/>
        <w:ind w:left="0"/>
        <w:jc w:val="both"/>
      </w:pPr>
      <w:r>
        <w:rPr>
          <w:rFonts w:ascii="Times New Roman"/>
          <w:b w:val="false"/>
          <w:i w:val="false"/>
          <w:color w:val="000000"/>
          <w:sz w:val="28"/>
        </w:rPr>
        <w:t>
      7) contains information about the category of persons for whom they are intended, if such is specified by the manufacturer;</w:t>
      </w:r>
    </w:p>
    <w:p>
      <w:pPr>
        <w:spacing w:after="0"/>
        <w:ind w:left="0"/>
        <w:jc w:val="both"/>
      </w:pPr>
      <w:r>
        <w:rPr>
          <w:rFonts w:ascii="Times New Roman"/>
          <w:b w:val="false"/>
          <w:i w:val="false"/>
          <w:color w:val="000000"/>
          <w:sz w:val="28"/>
        </w:rPr>
        <w:t>
      8) contains an instruction of the need to familiarize yourself with the main indications, contraindications for use and side effects (if any);</w:t>
      </w:r>
    </w:p>
    <w:p>
      <w:pPr>
        <w:spacing w:after="0"/>
        <w:ind w:left="0"/>
        <w:jc w:val="both"/>
      </w:pPr>
      <w:r>
        <w:rPr>
          <w:rFonts w:ascii="Times New Roman"/>
          <w:b w:val="false"/>
          <w:i w:val="false"/>
          <w:color w:val="000000"/>
          <w:sz w:val="28"/>
        </w:rPr>
        <w:t>
      9) contains information on the availability of state registration in the Republic of Kazakhstan and (or) in the member states of the Eurasian Economic Union;</w:t>
      </w:r>
    </w:p>
    <w:p>
      <w:pPr>
        <w:spacing w:after="0"/>
        <w:ind w:left="0"/>
        <w:jc w:val="both"/>
      </w:pPr>
      <w:r>
        <w:rPr>
          <w:rFonts w:ascii="Times New Roman"/>
          <w:b w:val="false"/>
          <w:i w:val="false"/>
          <w:color w:val="000000"/>
          <w:sz w:val="28"/>
        </w:rPr>
        <w:t>
      10) the production and (or) sale of the advertised product (goods) is permitted by the legislation of the Republic of Kazakhstan;</w:t>
      </w:r>
    </w:p>
    <w:p>
      <w:pPr>
        <w:spacing w:after="0"/>
        <w:ind w:left="0"/>
        <w:jc w:val="both"/>
      </w:pPr>
      <w:r>
        <w:rPr>
          <w:rFonts w:ascii="Times New Roman"/>
          <w:b w:val="false"/>
          <w:i w:val="false"/>
          <w:color w:val="000000"/>
          <w:sz w:val="28"/>
        </w:rPr>
        <w:t>
      11) advertising of dietary supplements also provides for:</w:t>
      </w:r>
    </w:p>
    <w:p>
      <w:pPr>
        <w:spacing w:after="0"/>
        <w:ind w:left="0"/>
        <w:jc w:val="both"/>
      </w:pPr>
      <w:r>
        <w:rPr>
          <w:rFonts w:ascii="Times New Roman"/>
          <w:b w:val="false"/>
          <w:i w:val="false"/>
          <w:color w:val="000000"/>
          <w:sz w:val="28"/>
        </w:rPr>
        <w:t>
      information on the active components included in the composition;</w:t>
      </w:r>
    </w:p>
    <w:p>
      <w:pPr>
        <w:spacing w:after="0"/>
        <w:ind w:left="0"/>
        <w:jc w:val="both"/>
      </w:pPr>
      <w:r>
        <w:rPr>
          <w:rFonts w:ascii="Times New Roman"/>
          <w:b w:val="false"/>
          <w:i w:val="false"/>
          <w:color w:val="000000"/>
          <w:sz w:val="28"/>
        </w:rPr>
        <w:t>
      method of administration and dosage;</w:t>
      </w:r>
    </w:p>
    <w:p>
      <w:pPr>
        <w:spacing w:after="0"/>
        <w:ind w:left="0"/>
        <w:jc w:val="both"/>
      </w:pPr>
      <w:r>
        <w:rPr>
          <w:rFonts w:ascii="Times New Roman"/>
          <w:b w:val="false"/>
          <w:i w:val="false"/>
          <w:color w:val="000000"/>
          <w:sz w:val="28"/>
        </w:rPr>
        <w:t>
      main side effects (if any);</w:t>
      </w:r>
    </w:p>
    <w:p>
      <w:pPr>
        <w:spacing w:after="0"/>
        <w:ind w:left="0"/>
        <w:jc w:val="both"/>
      </w:pPr>
      <w:r>
        <w:rPr>
          <w:rFonts w:ascii="Times New Roman"/>
          <w:b w:val="false"/>
          <w:i w:val="false"/>
          <w:color w:val="000000"/>
          <w:sz w:val="28"/>
        </w:rPr>
        <w:t>
      main contraindications (if any);</w:t>
      </w:r>
    </w:p>
    <w:p>
      <w:pPr>
        <w:spacing w:after="0"/>
        <w:ind w:left="0"/>
        <w:jc w:val="both"/>
      </w:pPr>
      <w:r>
        <w:rPr>
          <w:rFonts w:ascii="Times New Roman"/>
          <w:b w:val="false"/>
          <w:i w:val="false"/>
          <w:color w:val="000000"/>
          <w:sz w:val="28"/>
        </w:rPr>
        <w:t>
      special instructions for children, pregnant women, and during breastfeeding (if any);</w:t>
      </w:r>
    </w:p>
    <w:p>
      <w:pPr>
        <w:spacing w:after="0"/>
        <w:ind w:left="0"/>
        <w:jc w:val="both"/>
      </w:pPr>
      <w:r>
        <w:rPr>
          <w:rFonts w:ascii="Times New Roman"/>
          <w:b w:val="false"/>
          <w:i w:val="false"/>
          <w:color w:val="000000"/>
          <w:sz w:val="28"/>
        </w:rPr>
        <w:t>
      terms of dispensation;</w:t>
      </w:r>
    </w:p>
    <w:p>
      <w:pPr>
        <w:spacing w:after="0"/>
        <w:ind w:left="0"/>
        <w:jc w:val="both"/>
      </w:pPr>
      <w:r>
        <w:rPr>
          <w:rFonts w:ascii="Times New Roman"/>
          <w:b w:val="false"/>
          <w:i w:val="false"/>
          <w:color w:val="000000"/>
          <w:sz w:val="28"/>
        </w:rPr>
        <w:t>
      a clear and understandable recommendation for the use;</w:t>
      </w:r>
    </w:p>
    <w:p>
      <w:pPr>
        <w:spacing w:after="0"/>
        <w:ind w:left="0"/>
        <w:jc w:val="both"/>
      </w:pPr>
      <w:r>
        <w:rPr>
          <w:rFonts w:ascii="Times New Roman"/>
          <w:b w:val="false"/>
          <w:i w:val="false"/>
          <w:color w:val="000000"/>
          <w:sz w:val="28"/>
        </w:rPr>
        <w:t>
      the name, address of the manufacturer and the person authorized by the manufacturer to accept claims in the Republic of Kazakhstan;</w:t>
      </w:r>
    </w:p>
    <w:p>
      <w:pPr>
        <w:spacing w:after="0"/>
        <w:ind w:left="0"/>
        <w:jc w:val="both"/>
      </w:pPr>
      <w:r>
        <w:rPr>
          <w:rFonts w:ascii="Times New Roman"/>
          <w:b w:val="false"/>
          <w:i w:val="false"/>
          <w:color w:val="000000"/>
          <w:sz w:val="28"/>
        </w:rPr>
        <w:t>
      a warning that the advertised object is not a medicine;</w:t>
      </w:r>
    </w:p>
    <w:p>
      <w:pPr>
        <w:spacing w:after="0"/>
        <w:ind w:left="0"/>
        <w:jc w:val="both"/>
      </w:pPr>
      <w:r>
        <w:rPr>
          <w:rFonts w:ascii="Times New Roman"/>
          <w:b w:val="false"/>
          <w:i w:val="false"/>
          <w:color w:val="000000"/>
          <w:sz w:val="28"/>
        </w:rPr>
        <w:t>
      non-distribution and non-placement in public transport, organizations not related to their purpose, use and dispensing, on industrial products, prescription forms;</w:t>
      </w:r>
    </w:p>
    <w:p>
      <w:pPr>
        <w:spacing w:after="0"/>
        <w:ind w:left="0"/>
        <w:jc w:val="both"/>
      </w:pPr>
      <w:r>
        <w:rPr>
          <w:rFonts w:ascii="Times New Roman"/>
          <w:b w:val="false"/>
          <w:i w:val="false"/>
          <w:color w:val="000000"/>
          <w:sz w:val="28"/>
        </w:rPr>
        <w:t>
      12) advertising of a disinfectant also includes:</w:t>
      </w:r>
    </w:p>
    <w:p>
      <w:pPr>
        <w:spacing w:after="0"/>
        <w:ind w:left="0"/>
        <w:jc w:val="both"/>
      </w:pPr>
      <w:r>
        <w:rPr>
          <w:rFonts w:ascii="Times New Roman"/>
          <w:b w:val="false"/>
          <w:i w:val="false"/>
          <w:color w:val="000000"/>
          <w:sz w:val="28"/>
        </w:rPr>
        <w:t>
      recommendations for the use of a disinfectant;</w:t>
      </w:r>
    </w:p>
    <w:p>
      <w:pPr>
        <w:spacing w:after="0"/>
        <w:ind w:left="0"/>
        <w:jc w:val="both"/>
      </w:pPr>
      <w:r>
        <w:rPr>
          <w:rFonts w:ascii="Times New Roman"/>
          <w:b w:val="false"/>
          <w:i w:val="false"/>
          <w:color w:val="000000"/>
          <w:sz w:val="28"/>
        </w:rPr>
        <w:t>
      precautionary measures when working with a disinfectant.</w:t>
      </w:r>
    </w:p>
    <w:p>
      <w:pPr>
        <w:spacing w:after="0"/>
        <w:ind w:left="0"/>
        <w:jc w:val="both"/>
      </w:pPr>
      <w:r>
        <w:rPr>
          <w:rFonts w:ascii="Times New Roman"/>
          <w:b w:val="false"/>
          <w:i w:val="false"/>
          <w:color w:val="000000"/>
          <w:sz w:val="28"/>
        </w:rPr>
        <w:t>
      Advertisements intended for television and radio channels, Internet resources contain the information specified in subparagraphs 5), 6), 8) and 9) of this paragraph.</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