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8bb4" w14:textId="96c8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maintenance of the nomenclature of medical devices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12, 2020 No. ҚР ДСМ-127/2020. Registered with the Ministry of Justice on October 14, 2020 No. 21431</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clause 4 of article 258 of the Code of the Republic of Kazakhstan dated July 7, 2020 "On public health and Health Care System", I HEREBY ORDER:</w:t>
      </w:r>
    </w:p>
    <w:bookmarkEnd w:id="0"/>
    <w:bookmarkStart w:name="z6" w:id="1"/>
    <w:p>
      <w:pPr>
        <w:spacing w:after="0"/>
        <w:ind w:left="0"/>
        <w:jc w:val="both"/>
      </w:pPr>
      <w:r>
        <w:rPr>
          <w:rFonts w:ascii="Times New Roman"/>
          <w:b w:val="false"/>
          <w:i w:val="false"/>
          <w:color w:val="000000"/>
          <w:sz w:val="28"/>
        </w:rPr>
        <w:t>
      1. To approve the attached Rules for the formation and maintenance of the nomenclature of medical devices of the Republic of Kazakhstan.</w:t>
      </w:r>
    </w:p>
    <w:bookmarkEnd w:id="1"/>
    <w:bookmarkStart w:name="z7" w:id="2"/>
    <w:p>
      <w:pPr>
        <w:spacing w:after="0"/>
        <w:ind w:left="0"/>
        <w:jc w:val="both"/>
      </w:pPr>
      <w:r>
        <w:rPr>
          <w:rFonts w:ascii="Times New Roman"/>
          <w:b w:val="false"/>
          <w:i w:val="false"/>
          <w:color w:val="000000"/>
          <w:sz w:val="28"/>
        </w:rPr>
        <w:t>
      2. To recognize as invalid the order Minister of Healthcare of the Republic of Kazakhstan dated May 16, 2019 No. ҚР ДСМ-78 "On approval of the Rules for the formation and maintenance of the nomenclature of medical devices of the Republic of Kazakhstan " (registered with the Register of State Registration of Regulatory Legal Acts as No. 18703, published on May 29, 2019 in the Reference Control Bank of Regulatory Legal Acts of the Republic of Kazakhstan).</w:t>
      </w:r>
    </w:p>
    <w:bookmarkEnd w:id="2"/>
    <w:bookmarkStart w:name="z8" w:id="3"/>
    <w:p>
      <w:pPr>
        <w:spacing w:after="0"/>
        <w:ind w:left="0"/>
        <w:jc w:val="both"/>
      </w:pPr>
      <w:r>
        <w:rPr>
          <w:rFonts w:ascii="Times New Roman"/>
          <w:b w:val="false"/>
          <w:i w:val="false"/>
          <w:color w:val="000000"/>
          <w:sz w:val="28"/>
        </w:rPr>
        <w:t>
      3. Committee for Quality Control and Safety of Goods and Services of the Ministry of Healthcare of the Republic of Kazakhstan in accordance with the procedure,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11" w:id="6"/>
    <w:p>
      <w:pPr>
        <w:spacing w:after="0"/>
        <w:ind w:left="0"/>
        <w:jc w:val="both"/>
      </w:pPr>
      <w:r>
        <w:rPr>
          <w:rFonts w:ascii="Times New Roman"/>
          <w:b w:val="false"/>
          <w:i w:val="false"/>
          <w:color w:val="000000"/>
          <w:sz w:val="28"/>
        </w:rPr>
        <w:t>
      3) в within ten working days after the state registration of this order, submission to the Legal Department of the Ministry of Healthcare of the Republic of Kazakhstan of information about implementation of measures stipulated by subclauses 1) and 2) of this clause.</w:t>
      </w:r>
    </w:p>
    <w:bookmarkEnd w:id="6"/>
    <w:bookmarkStart w:name="z12" w:id="7"/>
    <w:p>
      <w:pPr>
        <w:spacing w:after="0"/>
        <w:ind w:left="0"/>
        <w:jc w:val="both"/>
      </w:pPr>
      <w:r>
        <w:rPr>
          <w:rFonts w:ascii="Times New Roman"/>
          <w:b w:val="false"/>
          <w:i w:val="false"/>
          <w:color w:val="000000"/>
          <w:sz w:val="28"/>
        </w:rPr>
        <w:t>
      4. Control over execution of this order shall be entrusted to the supervising Vice Minister of Healthcare of the Republic of Kazakhstan.</w:t>
      </w:r>
    </w:p>
    <w:bookmarkEnd w:id="7"/>
    <w:bookmarkStart w:name="z13"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October 12, 2020</w:t>
            </w:r>
            <w:r>
              <w:br/>
            </w:r>
            <w:r>
              <w:rPr>
                <w:rFonts w:ascii="Times New Roman"/>
                <w:b w:val="false"/>
                <w:i w:val="false"/>
                <w:color w:val="000000"/>
                <w:sz w:val="20"/>
              </w:rPr>
              <w:t>No. ҚР ДСМ-127/2020</w:t>
            </w:r>
          </w:p>
        </w:tc>
      </w:tr>
    </w:tbl>
    <w:bookmarkStart w:name="z16" w:id="9"/>
    <w:p>
      <w:pPr>
        <w:spacing w:after="0"/>
        <w:ind w:left="0"/>
        <w:jc w:val="left"/>
      </w:pPr>
      <w:r>
        <w:rPr>
          <w:rFonts w:ascii="Times New Roman"/>
          <w:b/>
          <w:i w:val="false"/>
          <w:color w:val="000000"/>
        </w:rPr>
        <w:t xml:space="preserve"> Rules for formation and maintenance of the nomenclature of medical devices of the Republic of Kazakhstan </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for formation and maintenance of the nomenclature of medical devices of the Republic of Kazakhstan (hereinafter referred to as the Rules) have been developed in accordance with clause 4 of article 258 of the Code of the Republic of Kazakhstan dated July 7, 2020 "On public health and Health Care System" (hereinafter referred to as the Code) and shall determine the procedure for formation and maintenance of the nomenclature of medical devices of the Republic of Kazakhstan.</w:t>
      </w:r>
    </w:p>
    <w:bookmarkEnd w:id="11"/>
    <w:bookmarkStart w:name="z19" w:id="12"/>
    <w:p>
      <w:pPr>
        <w:spacing w:after="0"/>
        <w:ind w:left="0"/>
        <w:jc w:val="both"/>
      </w:pPr>
      <w:r>
        <w:rPr>
          <w:rFonts w:ascii="Times New Roman"/>
          <w:b w:val="false"/>
          <w:i w:val="false"/>
          <w:color w:val="000000"/>
          <w:sz w:val="28"/>
        </w:rPr>
        <w:t>
      2. In these Rules, the following basic concepts are used:</w:t>
      </w:r>
    </w:p>
    <w:bookmarkEnd w:id="12"/>
    <w:bookmarkStart w:name="z20" w:id="13"/>
    <w:p>
      <w:pPr>
        <w:spacing w:after="0"/>
        <w:ind w:left="0"/>
        <w:jc w:val="both"/>
      </w:pPr>
      <w:r>
        <w:rPr>
          <w:rFonts w:ascii="Times New Roman"/>
          <w:b w:val="false"/>
          <w:i w:val="false"/>
          <w:color w:val="000000"/>
          <w:sz w:val="28"/>
        </w:rPr>
        <w:t>
      1) Agency for the Global Medical Device Nomenclature – organization, responsible for formation and maintenance of the Global Medical Device Nomenclature;</w:t>
      </w:r>
    </w:p>
    <w:bookmarkEnd w:id="13"/>
    <w:bookmarkStart w:name="z21" w:id="14"/>
    <w:p>
      <w:pPr>
        <w:spacing w:after="0"/>
        <w:ind w:left="0"/>
        <w:jc w:val="both"/>
      </w:pPr>
      <w:r>
        <w:rPr>
          <w:rFonts w:ascii="Times New Roman"/>
          <w:b w:val="false"/>
          <w:i w:val="false"/>
          <w:color w:val="000000"/>
          <w:sz w:val="28"/>
        </w:rPr>
        <w:t>
      2) Global Medical Device Nomenclature, GMDN – systematized nomenclature classifier of types of medical devices used to identify medical devices;</w:t>
      </w:r>
    </w:p>
    <w:bookmarkEnd w:id="14"/>
    <w:bookmarkStart w:name="z22" w:id="15"/>
    <w:p>
      <w:pPr>
        <w:spacing w:after="0"/>
        <w:ind w:left="0"/>
        <w:jc w:val="both"/>
      </w:pPr>
      <w:r>
        <w:rPr>
          <w:rFonts w:ascii="Times New Roman"/>
          <w:b w:val="false"/>
          <w:i w:val="false"/>
          <w:color w:val="000000"/>
          <w:sz w:val="28"/>
        </w:rPr>
        <w:t>
      3) classification attribute – the term used to describe the characteristics and characteristics of a type of medical device;</w:t>
      </w:r>
    </w:p>
    <w:bookmarkEnd w:id="15"/>
    <w:bookmarkStart w:name="z23" w:id="16"/>
    <w:p>
      <w:pPr>
        <w:spacing w:after="0"/>
        <w:ind w:left="0"/>
        <w:jc w:val="both"/>
      </w:pPr>
      <w:r>
        <w:rPr>
          <w:rFonts w:ascii="Times New Roman"/>
          <w:b w:val="false"/>
          <w:i w:val="false"/>
          <w:color w:val="000000"/>
          <w:sz w:val="28"/>
        </w:rPr>
        <w:t>
      4) the nomenclature of medical devices of the Republic of Kazakhstan - a systematized nomenclature classifier of types of medical devices, harmonized with the Global Medical Device Nomenclature (GMDN) and used in the Republic of Kazakhstan;</w:t>
      </w:r>
    </w:p>
    <w:bookmarkEnd w:id="16"/>
    <w:bookmarkStart w:name="z24" w:id="17"/>
    <w:p>
      <w:pPr>
        <w:spacing w:after="0"/>
        <w:ind w:left="0"/>
        <w:jc w:val="both"/>
      </w:pPr>
      <w:r>
        <w:rPr>
          <w:rFonts w:ascii="Times New Roman"/>
          <w:b w:val="false"/>
          <w:i w:val="false"/>
          <w:color w:val="000000"/>
          <w:sz w:val="28"/>
        </w:rPr>
        <w:t>
      5) type of medical devices – a group of medical devices with a similar purpose, similar application technologies, design features and a common digital designation in the nomenclature of medical devices of the Republic of Kazakhstan;</w:t>
      </w:r>
    </w:p>
    <w:bookmarkEnd w:id="17"/>
    <w:bookmarkStart w:name="z25" w:id="18"/>
    <w:p>
      <w:pPr>
        <w:spacing w:after="0"/>
        <w:ind w:left="0"/>
        <w:jc w:val="both"/>
      </w:pPr>
      <w:r>
        <w:rPr>
          <w:rFonts w:ascii="Times New Roman"/>
          <w:b w:val="false"/>
          <w:i w:val="false"/>
          <w:color w:val="000000"/>
          <w:sz w:val="28"/>
        </w:rPr>
        <w:t>
      6) code of the type of a medical device – a system of digital symbols used to represent and (or) transmit data.</w:t>
      </w:r>
    </w:p>
    <w:bookmarkEnd w:id="18"/>
    <w:bookmarkStart w:name="z26" w:id="19"/>
    <w:p>
      <w:pPr>
        <w:spacing w:after="0"/>
        <w:ind w:left="0"/>
        <w:jc w:val="left"/>
      </w:pPr>
      <w:r>
        <w:rPr>
          <w:rFonts w:ascii="Times New Roman"/>
          <w:b/>
          <w:i w:val="false"/>
          <w:color w:val="000000"/>
        </w:rPr>
        <w:t xml:space="preserve"> Chapter 2. Procedure for formation and maintenance of the Nomenclature</w:t>
      </w:r>
    </w:p>
    <w:bookmarkEnd w:id="19"/>
    <w:bookmarkStart w:name="z27" w:id="20"/>
    <w:p>
      <w:pPr>
        <w:spacing w:after="0"/>
        <w:ind w:left="0"/>
        <w:jc w:val="both"/>
      </w:pPr>
      <w:r>
        <w:rPr>
          <w:rFonts w:ascii="Times New Roman"/>
          <w:b w:val="false"/>
          <w:i w:val="false"/>
          <w:color w:val="000000"/>
          <w:sz w:val="28"/>
        </w:rPr>
        <w:t>
      3. The nomenclature is formed and maintained by the state expert organization in the field of circulation of medicines and medical devices (hereinafter referred to as the state expert organization) in electronic form and posted on the official website of the state expert organization.</w:t>
      </w:r>
    </w:p>
    <w:bookmarkEnd w:id="20"/>
    <w:bookmarkStart w:name="z28" w:id="21"/>
    <w:p>
      <w:pPr>
        <w:spacing w:after="0"/>
        <w:ind w:left="0"/>
        <w:jc w:val="both"/>
      </w:pPr>
      <w:r>
        <w:rPr>
          <w:rFonts w:ascii="Times New Roman"/>
          <w:b w:val="false"/>
          <w:i w:val="false"/>
          <w:color w:val="000000"/>
          <w:sz w:val="28"/>
        </w:rPr>
        <w:t>
      4. The nomenclature is formed on the basis of the Global Medical Device Nomenclature, GMDN, by decoding of a GMDN code to a Nomenclature code.</w:t>
      </w:r>
    </w:p>
    <w:bookmarkEnd w:id="21"/>
    <w:bookmarkStart w:name="z29" w:id="22"/>
    <w:p>
      <w:pPr>
        <w:spacing w:after="0"/>
        <w:ind w:left="0"/>
        <w:jc w:val="both"/>
      </w:pPr>
      <w:r>
        <w:rPr>
          <w:rFonts w:ascii="Times New Roman"/>
          <w:b w:val="false"/>
          <w:i w:val="false"/>
          <w:color w:val="000000"/>
          <w:sz w:val="28"/>
        </w:rPr>
        <w:t>
      5. The nomenclature contains the list of medical devices with indication of names, codes and descriptions of the types of medical devices, as well as the list of classification attributes.</w:t>
      </w:r>
    </w:p>
    <w:bookmarkEnd w:id="22"/>
    <w:bookmarkStart w:name="z30" w:id="23"/>
    <w:p>
      <w:pPr>
        <w:spacing w:after="0"/>
        <w:ind w:left="0"/>
        <w:jc w:val="both"/>
      </w:pPr>
      <w:r>
        <w:rPr>
          <w:rFonts w:ascii="Times New Roman"/>
          <w:b w:val="false"/>
          <w:i w:val="false"/>
          <w:color w:val="000000"/>
          <w:sz w:val="28"/>
        </w:rPr>
        <w:t>
      An example of recording the type of medical device, assigning the type of medical device to the classification criteria is presented in the appendix to these Rules.</w:t>
      </w:r>
    </w:p>
    <w:bookmarkEnd w:id="23"/>
    <w:bookmarkStart w:name="z31" w:id="24"/>
    <w:p>
      <w:pPr>
        <w:spacing w:after="0"/>
        <w:ind w:left="0"/>
        <w:jc w:val="both"/>
      </w:pPr>
      <w:r>
        <w:rPr>
          <w:rFonts w:ascii="Times New Roman"/>
          <w:b w:val="false"/>
          <w:i w:val="false"/>
          <w:color w:val="000000"/>
          <w:sz w:val="28"/>
        </w:rPr>
        <w:t>
      6. Name, description of the type of medical devices, classification attributes of the Nomenclature conform with the name, description of the type of medical devices, classification attributes of the GMDN.</w:t>
      </w:r>
    </w:p>
    <w:bookmarkEnd w:id="24"/>
    <w:bookmarkStart w:name="z32" w:id="25"/>
    <w:p>
      <w:pPr>
        <w:spacing w:after="0"/>
        <w:ind w:left="0"/>
        <w:jc w:val="both"/>
      </w:pPr>
      <w:r>
        <w:rPr>
          <w:rFonts w:ascii="Times New Roman"/>
          <w:b w:val="false"/>
          <w:i w:val="false"/>
          <w:color w:val="000000"/>
          <w:sz w:val="28"/>
        </w:rPr>
        <w:t>
      7. The state expert organization shall carry out:</w:t>
      </w:r>
    </w:p>
    <w:bookmarkEnd w:id="25"/>
    <w:bookmarkStart w:name="z33" w:id="26"/>
    <w:p>
      <w:pPr>
        <w:spacing w:after="0"/>
        <w:ind w:left="0"/>
        <w:jc w:val="both"/>
      </w:pPr>
      <w:r>
        <w:rPr>
          <w:rFonts w:ascii="Times New Roman"/>
          <w:b w:val="false"/>
          <w:i w:val="false"/>
          <w:color w:val="000000"/>
          <w:sz w:val="28"/>
        </w:rPr>
        <w:t>
      1) the provision of translation to the Kazakh and Russian languages of names and descriptions of the types of medical devices, included to the GMDN;</w:t>
      </w:r>
    </w:p>
    <w:bookmarkEnd w:id="26"/>
    <w:bookmarkStart w:name="z34" w:id="27"/>
    <w:p>
      <w:pPr>
        <w:spacing w:after="0"/>
        <w:ind w:left="0"/>
        <w:jc w:val="both"/>
      </w:pPr>
      <w:r>
        <w:rPr>
          <w:rFonts w:ascii="Times New Roman"/>
          <w:b w:val="false"/>
          <w:i w:val="false"/>
          <w:color w:val="000000"/>
          <w:sz w:val="28"/>
        </w:rPr>
        <w:t>
      2) the provision of translation to the Kazakh and Russian languages of names and descriptions of new types of medical devices, as well as information about amendments made to the names and descriptions of types of medical devices, included to the GMDN, received from the Agency of GMDN and making the corresponding amendments in the Nomenclature;</w:t>
      </w:r>
    </w:p>
    <w:bookmarkEnd w:id="27"/>
    <w:bookmarkStart w:name="z35" w:id="28"/>
    <w:p>
      <w:pPr>
        <w:spacing w:after="0"/>
        <w:ind w:left="0"/>
        <w:jc w:val="both"/>
      </w:pPr>
      <w:r>
        <w:rPr>
          <w:rFonts w:ascii="Times New Roman"/>
          <w:b w:val="false"/>
          <w:i w:val="false"/>
          <w:color w:val="000000"/>
          <w:sz w:val="28"/>
        </w:rPr>
        <w:t>
      3) ensuring the exclusion of types from the Nomenclature, based on information received from the GMDN Agency on the exclusion of certain types of medical devices from the GMDN;</w:t>
      </w:r>
    </w:p>
    <w:bookmarkEnd w:id="28"/>
    <w:bookmarkStart w:name="z36" w:id="29"/>
    <w:p>
      <w:pPr>
        <w:spacing w:after="0"/>
        <w:ind w:left="0"/>
        <w:jc w:val="both"/>
      </w:pPr>
      <w:r>
        <w:rPr>
          <w:rFonts w:ascii="Times New Roman"/>
          <w:b w:val="false"/>
          <w:i w:val="false"/>
          <w:color w:val="000000"/>
          <w:sz w:val="28"/>
        </w:rPr>
        <w:t>
      4) making entries in the State Register of Medicines and Medical Devices by types of medical devices Nomenclature by example in accordance with the appendix to these rules;</w:t>
      </w:r>
    </w:p>
    <w:bookmarkEnd w:id="29"/>
    <w:bookmarkStart w:name="z37" w:id="30"/>
    <w:p>
      <w:pPr>
        <w:spacing w:after="0"/>
        <w:ind w:left="0"/>
        <w:jc w:val="both"/>
      </w:pPr>
      <w:r>
        <w:rPr>
          <w:rFonts w:ascii="Times New Roman"/>
          <w:b w:val="false"/>
          <w:i w:val="false"/>
          <w:color w:val="000000"/>
          <w:sz w:val="28"/>
        </w:rPr>
        <w:t>
      5) analysis and generalization of comments and suggestions from users of the Nomenclature on its structure and content.</w:t>
      </w:r>
    </w:p>
    <w:bookmarkEnd w:id="30"/>
    <w:bookmarkStart w:name="z38" w:id="31"/>
    <w:p>
      <w:pPr>
        <w:spacing w:after="0"/>
        <w:ind w:left="0"/>
        <w:jc w:val="both"/>
      </w:pPr>
      <w:r>
        <w:rPr>
          <w:rFonts w:ascii="Times New Roman"/>
          <w:b w:val="false"/>
          <w:i w:val="false"/>
          <w:color w:val="000000"/>
          <w:sz w:val="28"/>
        </w:rPr>
        <w:t>
      8. The state expert organization, when carrying out the examination of medical devices, performed in accordance with the procedure prescribed by clause 4 of Article 23 of the Code, shall evaluate the declared Nomenclature code for compliance with the type of medical device.</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Rules for formation and </w:t>
            </w:r>
            <w:r>
              <w:br/>
            </w:r>
            <w:r>
              <w:rPr>
                <w:rFonts w:ascii="Times New Roman"/>
                <w:b w:val="false"/>
                <w:i w:val="false"/>
                <w:color w:val="000000"/>
                <w:sz w:val="20"/>
              </w:rPr>
              <w:t xml:space="preserve">maintenance of the nomenclature </w:t>
            </w:r>
            <w:r>
              <w:br/>
            </w:r>
            <w:r>
              <w:rPr>
                <w:rFonts w:ascii="Times New Roman"/>
                <w:b w:val="false"/>
                <w:i w:val="false"/>
                <w:color w:val="000000"/>
                <w:sz w:val="20"/>
              </w:rPr>
              <w:t>of medical devices</w:t>
            </w:r>
          </w:p>
        </w:tc>
      </w:tr>
    </w:tbl>
    <w:bookmarkStart w:name="z40" w:id="32"/>
    <w:p>
      <w:pPr>
        <w:spacing w:after="0"/>
        <w:ind w:left="0"/>
        <w:jc w:val="left"/>
      </w:pPr>
      <w:r>
        <w:rPr>
          <w:rFonts w:ascii="Times New Roman"/>
          <w:b/>
          <w:i w:val="false"/>
          <w:color w:val="000000"/>
        </w:rPr>
        <w:t xml:space="preserve"> Sample of a record of a type of medical device</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805"/>
        <w:gridCol w:w="10587"/>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Suture knife</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hand-held surgical instrument for cutting suture materials to remove them. It can be a single scalpel blade with protection or a scissor structure. The device is reusable.</w:t>
            </w:r>
          </w:p>
        </w:tc>
      </w:tr>
    </w:tbl>
    <w:bookmarkStart w:name="z41" w:id="33"/>
    <w:p>
      <w:pPr>
        <w:spacing w:after="0"/>
        <w:ind w:left="0"/>
        <w:jc w:val="left"/>
      </w:pPr>
      <w:r>
        <w:rPr>
          <w:rFonts w:ascii="Times New Roman"/>
          <w:b/>
          <w:i w:val="false"/>
          <w:color w:val="000000"/>
        </w:rPr>
        <w:t xml:space="preserve"> Sample of assigning the type of medical device to classification attributes</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0925"/>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attributes</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254333</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 Surgical</w:t>
            </w:r>
            <w:r>
              <w:br/>
            </w:r>
            <w:r>
              <w:rPr>
                <w:rFonts w:ascii="Times New Roman"/>
                <w:b w:val="false"/>
                <w:i w:val="false"/>
                <w:color w:val="000000"/>
                <w:sz w:val="20"/>
              </w:rPr>
              <w:t>
</w:t>
            </w:r>
            <w:r>
              <w:rPr>
                <w:rFonts w:ascii="Times New Roman"/>
                <w:b w:val="false"/>
                <w:i w:val="false"/>
                <w:color w:val="000000"/>
                <w:sz w:val="20"/>
              </w:rPr>
              <w:t>2) Dentistry</w:t>
            </w:r>
            <w:r>
              <w:br/>
            </w:r>
            <w:r>
              <w:rPr>
                <w:rFonts w:ascii="Times New Roman"/>
                <w:b w:val="false"/>
                <w:i w:val="false"/>
                <w:color w:val="000000"/>
                <w:sz w:val="20"/>
              </w:rPr>
              <w:t>
</w:t>
            </w:r>
            <w:r>
              <w:rPr>
                <w:rFonts w:ascii="Times New Roman"/>
                <w:b w:val="false"/>
                <w:i w:val="false"/>
                <w:color w:val="000000"/>
                <w:sz w:val="20"/>
              </w:rPr>
              <w:t>3) Otolaryngology</w:t>
            </w:r>
            <w:r>
              <w:br/>
            </w:r>
            <w:r>
              <w:rPr>
                <w:rFonts w:ascii="Times New Roman"/>
                <w:b w:val="false"/>
                <w:i w:val="false"/>
                <w:color w:val="000000"/>
                <w:sz w:val="20"/>
              </w:rPr>
              <w:t>
</w:t>
            </w:r>
            <w:r>
              <w:rPr>
                <w:rFonts w:ascii="Times New Roman"/>
                <w:b w:val="false"/>
                <w:i w:val="false"/>
                <w:color w:val="000000"/>
                <w:sz w:val="20"/>
              </w:rPr>
              <w:t>4) Gastroenterology</w:t>
            </w:r>
            <w:r>
              <w:br/>
            </w:r>
            <w:r>
              <w:rPr>
                <w:rFonts w:ascii="Times New Roman"/>
                <w:b w:val="false"/>
                <w:i w:val="false"/>
                <w:color w:val="000000"/>
                <w:sz w:val="20"/>
              </w:rPr>
              <w:t>
</w:t>
            </w:r>
            <w:r>
              <w:rPr>
                <w:rFonts w:ascii="Times New Roman"/>
                <w:b w:val="false"/>
                <w:i w:val="false"/>
                <w:color w:val="000000"/>
                <w:sz w:val="20"/>
              </w:rPr>
              <w:t>5) Urology</w:t>
            </w:r>
            <w:r>
              <w:br/>
            </w:r>
            <w:r>
              <w:rPr>
                <w:rFonts w:ascii="Times New Roman"/>
                <w:b w:val="false"/>
                <w:i w:val="false"/>
                <w:color w:val="000000"/>
                <w:sz w:val="20"/>
              </w:rPr>
              <w:t>
</w:t>
            </w:r>
            <w:r>
              <w:rPr>
                <w:rFonts w:ascii="Times New Roman"/>
                <w:b w:val="false"/>
                <w:i w:val="false"/>
                <w:color w:val="000000"/>
                <w:sz w:val="20"/>
              </w:rPr>
              <w:t>6) Neurology</w:t>
            </w:r>
            <w:r>
              <w:br/>
            </w:r>
            <w:r>
              <w:rPr>
                <w:rFonts w:ascii="Times New Roman"/>
                <w:b w:val="false"/>
                <w:i w:val="false"/>
                <w:color w:val="000000"/>
                <w:sz w:val="20"/>
              </w:rPr>
              <w:t>
</w:t>
            </w:r>
            <w:r>
              <w:rPr>
                <w:rFonts w:ascii="Times New Roman"/>
                <w:b w:val="false"/>
                <w:i w:val="false"/>
                <w:color w:val="000000"/>
                <w:sz w:val="20"/>
              </w:rPr>
              <w:t>7) Obstetrics and gynecology</w:t>
            </w:r>
            <w:r>
              <w:br/>
            </w:r>
            <w:r>
              <w:rPr>
                <w:rFonts w:ascii="Times New Roman"/>
                <w:b w:val="false"/>
                <w:i w:val="false"/>
                <w:color w:val="000000"/>
                <w:sz w:val="20"/>
              </w:rPr>
              <w:t>
</w:t>
            </w:r>
            <w:r>
              <w:rPr>
                <w:rFonts w:ascii="Times New Roman"/>
                <w:b w:val="false"/>
                <w:i w:val="false"/>
                <w:color w:val="000000"/>
                <w:sz w:val="20"/>
              </w:rPr>
              <w:t>8) Ophthalmology</w:t>
            </w:r>
            <w:r>
              <w:br/>
            </w:r>
            <w:r>
              <w:rPr>
                <w:rFonts w:ascii="Times New Roman"/>
                <w:b w:val="false"/>
                <w:i w:val="false"/>
                <w:color w:val="000000"/>
                <w:sz w:val="20"/>
              </w:rPr>
              <w:t>
</w:t>
            </w:r>
            <w:r>
              <w:rPr>
                <w:rFonts w:ascii="Times New Roman"/>
                <w:b w:val="false"/>
                <w:i w:val="false"/>
                <w:color w:val="000000"/>
                <w:sz w:val="20"/>
              </w:rPr>
              <w:t>9) Orthopedics</w:t>
            </w:r>
            <w:r>
              <w:br/>
            </w:r>
            <w:r>
              <w:rPr>
                <w:rFonts w:ascii="Times New Roman"/>
                <w:b w:val="false"/>
                <w:i w:val="false"/>
                <w:color w:val="000000"/>
                <w:sz w:val="20"/>
              </w:rPr>
              <w:t>
</w:t>
            </w:r>
            <w:r>
              <w:rPr>
                <w:rFonts w:ascii="Times New Roman"/>
                <w:b w:val="false"/>
                <w:i w:val="false"/>
                <w:color w:val="000000"/>
                <w:sz w:val="20"/>
              </w:rPr>
              <w:t>10) Plastic surgery</w:t>
            </w:r>
            <w:r>
              <w:br/>
            </w:r>
            <w:r>
              <w:rPr>
                <w:rFonts w:ascii="Times New Roman"/>
                <w:b w:val="false"/>
                <w:i w:val="false"/>
                <w:color w:val="000000"/>
                <w:sz w:val="20"/>
              </w:rPr>
              <w:t>
</w:t>
            </w:r>
            <w:r>
              <w:rPr>
                <w:rFonts w:ascii="Times New Roman"/>
                <w:b w:val="false"/>
                <w:i w:val="false"/>
                <w:color w:val="000000"/>
                <w:sz w:val="20"/>
              </w:rPr>
              <w:t>11) Cardiology</w:t>
            </w:r>
            <w:r>
              <w:br/>
            </w:r>
            <w:r>
              <w:rPr>
                <w:rFonts w:ascii="Times New Roman"/>
                <w:b w:val="false"/>
                <w:i w:val="false"/>
                <w:color w:val="000000"/>
                <w:sz w:val="20"/>
              </w:rPr>
              <w:t>
</w:t>
            </w:r>
            <w:r>
              <w:rPr>
                <w:rFonts w:ascii="Times New Roman"/>
                <w:b w:val="false"/>
                <w:i w:val="false"/>
                <w:color w:val="000000"/>
                <w:sz w:val="20"/>
              </w:rPr>
              <w:t>12) Blades</w:t>
            </w:r>
            <w:r>
              <w:br/>
            </w:r>
            <w:r>
              <w:rPr>
                <w:rFonts w:ascii="Times New Roman"/>
                <w:b w:val="false"/>
                <w:i w:val="false"/>
                <w:color w:val="000000"/>
                <w:sz w:val="20"/>
              </w:rPr>
              <w:t>
</w:t>
            </w:r>
            <w:r>
              <w:rPr>
                <w:rFonts w:ascii="Times New Roman"/>
                <w:b w:val="false"/>
                <w:i w:val="false"/>
                <w:color w:val="000000"/>
                <w:sz w:val="20"/>
              </w:rPr>
              <w:t>13) Mills and accessories</w:t>
            </w:r>
            <w:r>
              <w:br/>
            </w:r>
            <w:r>
              <w:rPr>
                <w:rFonts w:ascii="Times New Roman"/>
                <w:b w:val="false"/>
                <w:i w:val="false"/>
                <w:color w:val="000000"/>
                <w:sz w:val="20"/>
              </w:rPr>
              <w:t>
</w:t>
            </w:r>
            <w:r>
              <w:rPr>
                <w:rFonts w:ascii="Times New Roman"/>
                <w:b w:val="false"/>
                <w:i w:val="false"/>
                <w:color w:val="000000"/>
                <w:sz w:val="20"/>
              </w:rPr>
              <w:t>14) Equipment for the regeneration and processing of body tissues</w:t>
            </w:r>
            <w:r>
              <w:br/>
            </w:r>
            <w:r>
              <w:rPr>
                <w:rFonts w:ascii="Times New Roman"/>
                <w:b w:val="false"/>
                <w:i w:val="false"/>
                <w:color w:val="000000"/>
                <w:sz w:val="20"/>
              </w:rPr>
              <w:t>
</w:t>
            </w:r>
            <w:r>
              <w:rPr>
                <w:rFonts w:ascii="Times New Roman"/>
                <w:b w:val="false"/>
                <w:i w:val="false"/>
                <w:color w:val="000000"/>
                <w:sz w:val="20"/>
              </w:rPr>
              <w:t>15) Plastic</w:t>
            </w:r>
            <w:r>
              <w:br/>
            </w:r>
            <w:r>
              <w:rPr>
                <w:rFonts w:ascii="Times New Roman"/>
                <w:b w:val="false"/>
                <w:i w:val="false"/>
                <w:color w:val="000000"/>
                <w:sz w:val="20"/>
              </w:rPr>
              <w:t>
</w:t>
            </w:r>
            <w:r>
              <w:rPr>
                <w:rFonts w:ascii="Times New Roman"/>
                <w:b w:val="false"/>
                <w:i w:val="false"/>
                <w:color w:val="000000"/>
                <w:sz w:val="20"/>
              </w:rPr>
              <w:t>16) Manual, surgical</w:t>
            </w:r>
            <w:r>
              <w:br/>
            </w:r>
            <w:r>
              <w:rPr>
                <w:rFonts w:ascii="Times New Roman"/>
                <w:b w:val="false"/>
                <w:i w:val="false"/>
                <w:color w:val="000000"/>
                <w:sz w:val="20"/>
              </w:rPr>
              <w:t>
</w:t>
            </w:r>
            <w:r>
              <w:rPr>
                <w:rFonts w:ascii="Times New Roman"/>
                <w:b w:val="false"/>
                <w:i w:val="false"/>
                <w:color w:val="000000"/>
                <w:sz w:val="20"/>
              </w:rPr>
              <w:t>17) Tools for stitching fabrics</w:t>
            </w:r>
            <w:r>
              <w:br/>
            </w:r>
            <w:r>
              <w:rPr>
                <w:rFonts w:ascii="Times New Roman"/>
                <w:b w:val="false"/>
                <w:i w:val="false"/>
                <w:color w:val="000000"/>
                <w:sz w:val="20"/>
              </w:rPr>
              <w:t>
</w:t>
            </w:r>
            <w:r>
              <w:rPr>
                <w:rFonts w:ascii="Times New Roman"/>
                <w:b w:val="false"/>
                <w:i w:val="false"/>
                <w:color w:val="000000"/>
                <w:sz w:val="20"/>
              </w:rPr>
              <w:t>18) Inorganic materials</w:t>
            </w:r>
            <w:r>
              <w:br/>
            </w:r>
            <w:r>
              <w:rPr>
                <w:rFonts w:ascii="Times New Roman"/>
                <w:b w:val="false"/>
                <w:i w:val="false"/>
                <w:color w:val="000000"/>
                <w:sz w:val="20"/>
              </w:rPr>
              <w:t>
</w:t>
            </w:r>
            <w:r>
              <w:rPr>
                <w:rFonts w:ascii="Times New Roman"/>
                <w:b w:val="false"/>
                <w:i w:val="false"/>
                <w:color w:val="000000"/>
                <w:sz w:val="20"/>
              </w:rPr>
              <w:t>19) Manual</w:t>
            </w:r>
            <w:r>
              <w:br/>
            </w:r>
            <w:r>
              <w:rPr>
                <w:rFonts w:ascii="Times New Roman"/>
                <w:b w:val="false"/>
                <w:i w:val="false"/>
                <w:color w:val="000000"/>
                <w:sz w:val="20"/>
              </w:rPr>
              <w:t>
</w:t>
            </w:r>
            <w:r>
              <w:rPr>
                <w:rFonts w:ascii="Times New Roman"/>
                <w:b w:val="false"/>
                <w:i w:val="false"/>
                <w:color w:val="000000"/>
                <w:sz w:val="20"/>
              </w:rPr>
              <w:t>20) Sterilizable</w:t>
            </w:r>
            <w:r>
              <w:br/>
            </w:r>
            <w:r>
              <w:rPr>
                <w:rFonts w:ascii="Times New Roman"/>
                <w:b w:val="false"/>
                <w:i w:val="false"/>
                <w:color w:val="000000"/>
                <w:sz w:val="20"/>
              </w:rPr>
              <w:t>
</w:t>
            </w:r>
            <w:r>
              <w:rPr>
                <w:rFonts w:ascii="Times New Roman"/>
                <w:b w:val="false"/>
                <w:i w:val="false"/>
                <w:color w:val="000000"/>
                <w:sz w:val="20"/>
              </w:rPr>
              <w:t>21) Synthetic polymers</w:t>
            </w:r>
            <w:r>
              <w:br/>
            </w:r>
            <w:r>
              <w:rPr>
                <w:rFonts w:ascii="Times New Roman"/>
                <w:b w:val="false"/>
                <w:i w:val="false"/>
                <w:color w:val="000000"/>
                <w:sz w:val="20"/>
              </w:rPr>
              <w:t>
</w:t>
            </w:r>
            <w:r>
              <w:rPr>
                <w:rFonts w:ascii="Times New Roman"/>
                <w:b w:val="false"/>
                <w:i w:val="false"/>
                <w:color w:val="000000"/>
                <w:sz w:val="20"/>
              </w:rPr>
              <w:t>22) Metals</w:t>
            </w:r>
            <w:r>
              <w:br/>
            </w:r>
            <w:r>
              <w:rPr>
                <w:rFonts w:ascii="Times New Roman"/>
                <w:b w:val="false"/>
                <w:i w:val="false"/>
                <w:color w:val="000000"/>
                <w:sz w:val="20"/>
              </w:rPr>
              <w:t>
23) Suture materials and accessories</w:t>
            </w:r>
          </w:p>
          <w:bookmarkEnd w:id="3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