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dd15" w14:textId="f89d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searching and activating a donor of hematopoietic stem cells, including from international registries, and transporting hematopoietic stem cells to the recipient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9, 2020 No. ҚР ДСМ-119/2020. Registered with the Ministry of Justice of the Republic of Kazakhstan on October 12, 2020 No. 21408</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clause 2 of article 215 Of the Code of the Republic of Kazakhstan dated July 7, 2020 "On Public Health and Health Care System", I HEREBY ORDER:</w:t>
      </w:r>
    </w:p>
    <w:bookmarkEnd w:id="0"/>
    <w:bookmarkStart w:name="z6" w:id="1"/>
    <w:p>
      <w:pPr>
        <w:spacing w:after="0"/>
        <w:ind w:left="0"/>
        <w:jc w:val="both"/>
      </w:pPr>
      <w:r>
        <w:rPr>
          <w:rFonts w:ascii="Times New Roman"/>
          <w:b w:val="false"/>
          <w:i w:val="false"/>
          <w:color w:val="000000"/>
          <w:sz w:val="28"/>
        </w:rPr>
        <w:t>
      1. To approve the Rules for searching and activating a donor of hematopoietic stem cells, including from international registries, and transporting hematopoietic stem cells to the recipient in accordance with Appendix to this order.</w:t>
      </w:r>
    </w:p>
    <w:bookmarkEnd w:id="1"/>
    <w:bookmarkStart w:name="z7" w:id="2"/>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activities, stipulated by subclauses 1), 2) of this clause.</w:t>
      </w:r>
    </w:p>
    <w:bookmarkEnd w:id="5"/>
    <w:bookmarkStart w:name="z11" w:id="6"/>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9, 2020</w:t>
            </w:r>
            <w:r>
              <w:br/>
            </w:r>
            <w:r>
              <w:rPr>
                <w:rFonts w:ascii="Times New Roman"/>
                <w:b w:val="false"/>
                <w:i w:val="false"/>
                <w:color w:val="000000"/>
                <w:sz w:val="20"/>
              </w:rPr>
              <w:t>No. ҚР ДСМ-119/2020</w:t>
            </w:r>
          </w:p>
        </w:tc>
      </w:tr>
    </w:tbl>
    <w:bookmarkStart w:name="z15" w:id="8"/>
    <w:p>
      <w:pPr>
        <w:spacing w:after="0"/>
        <w:ind w:left="0"/>
        <w:jc w:val="left"/>
      </w:pPr>
      <w:r>
        <w:rPr>
          <w:rFonts w:ascii="Times New Roman"/>
          <w:b/>
          <w:i w:val="false"/>
          <w:color w:val="000000"/>
        </w:rPr>
        <w:t xml:space="preserve"> Rules for searching and activating a donor of hematopoietic stem cells, including from international registries, and transporting hematopoietic stem cells to the recipient</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 Rules for searching and activating a donor of hematopoietic stem cells, including from international registries, and transporting hematopoietic stem cells to the recipient have been developed in accordance with clause 2 of article 215 Of the Code of the Republic of Kazakhstan "On Public Health and Health Care System" and shall determine the procedure for searching and activating a donor of hematopoietic stem cells (hereinafter referred to as the HSC), including from international registers, and transporting HSC to the recipient.</w:t>
      </w:r>
    </w:p>
    <w:bookmarkEnd w:id="10"/>
    <w:bookmarkStart w:name="z18" w:id="11"/>
    <w:p>
      <w:pPr>
        <w:spacing w:after="0"/>
        <w:ind w:left="0"/>
        <w:jc w:val="both"/>
      </w:pPr>
      <w:r>
        <w:rPr>
          <w:rFonts w:ascii="Times New Roman"/>
          <w:b w:val="false"/>
          <w:i w:val="false"/>
          <w:color w:val="000000"/>
          <w:sz w:val="28"/>
        </w:rPr>
        <w:t xml:space="preserve">
      2. The following basic concepts are used in these Rules:      </w:t>
      </w:r>
    </w:p>
    <w:bookmarkEnd w:id="11"/>
    <w:bookmarkStart w:name="z19" w:id="12"/>
    <w:p>
      <w:pPr>
        <w:spacing w:after="0"/>
        <w:ind w:left="0"/>
        <w:jc w:val="both"/>
      </w:pPr>
      <w:r>
        <w:rPr>
          <w:rFonts w:ascii="Times New Roman"/>
          <w:b w:val="false"/>
          <w:i w:val="false"/>
          <w:color w:val="000000"/>
          <w:sz w:val="28"/>
        </w:rPr>
        <w:t xml:space="preserve">
      1) activating – procedure for obtaining repeated consent of the HSC donor for donation, as well as for conducting a control confirmatory tissue typing; </w:t>
      </w:r>
    </w:p>
    <w:bookmarkEnd w:id="12"/>
    <w:bookmarkStart w:name="z20" w:id="13"/>
    <w:p>
      <w:pPr>
        <w:spacing w:after="0"/>
        <w:ind w:left="0"/>
        <w:jc w:val="both"/>
      </w:pPr>
      <w:r>
        <w:rPr>
          <w:rFonts w:ascii="Times New Roman"/>
          <w:b w:val="false"/>
          <w:i w:val="false"/>
          <w:color w:val="000000"/>
          <w:sz w:val="28"/>
        </w:rPr>
        <w:t>
      2) conditioning – a method of therapy using high-dose chemotherapy or radiation therapy to prepare the recipient for transplantation of hematopoietic stem cells;</w:t>
      </w:r>
    </w:p>
    <w:bookmarkEnd w:id="13"/>
    <w:bookmarkStart w:name="z21" w:id="14"/>
    <w:p>
      <w:pPr>
        <w:spacing w:after="0"/>
        <w:ind w:left="0"/>
        <w:jc w:val="both"/>
      </w:pPr>
      <w:r>
        <w:rPr>
          <w:rFonts w:ascii="Times New Roman"/>
          <w:b w:val="false"/>
          <w:i w:val="false"/>
          <w:color w:val="000000"/>
          <w:sz w:val="28"/>
        </w:rPr>
        <w:t>
      3) applicant (customer) – an individual or a legal entity licensed for medical activities in "Transplantology", searching for a compatible donor, as well as sending a request for activation of an HSC donor for the purpose of transplantation;</w:t>
      </w:r>
    </w:p>
    <w:bookmarkEnd w:id="14"/>
    <w:bookmarkStart w:name="z22" w:id="15"/>
    <w:p>
      <w:pPr>
        <w:spacing w:after="0"/>
        <w:ind w:left="0"/>
        <w:jc w:val="both"/>
      </w:pPr>
      <w:r>
        <w:rPr>
          <w:rFonts w:ascii="Times New Roman"/>
          <w:b w:val="false"/>
          <w:i w:val="false"/>
          <w:color w:val="000000"/>
          <w:sz w:val="28"/>
        </w:rPr>
        <w:t>
      4) information database of the Register – information about phenotypes of a potential HSC donor;</w:t>
      </w:r>
    </w:p>
    <w:bookmarkEnd w:id="15"/>
    <w:bookmarkStart w:name="z23" w:id="16"/>
    <w:p>
      <w:pPr>
        <w:spacing w:after="0"/>
        <w:ind w:left="0"/>
        <w:jc w:val="both"/>
      </w:pPr>
      <w:r>
        <w:rPr>
          <w:rFonts w:ascii="Times New Roman"/>
          <w:b w:val="false"/>
          <w:i w:val="false"/>
          <w:color w:val="000000"/>
          <w:sz w:val="28"/>
        </w:rPr>
        <w:t>
      5) phenotype – a set of characteristics inherent in an individual, mediated by external factors, which is formed on the basis of a genotype (a set of genes of a particular organism).</w:t>
      </w:r>
    </w:p>
    <w:bookmarkEnd w:id="16"/>
    <w:bookmarkStart w:name="z24" w:id="17"/>
    <w:p>
      <w:pPr>
        <w:spacing w:after="0"/>
        <w:ind w:left="0"/>
        <w:jc w:val="both"/>
      </w:pPr>
      <w:r>
        <w:rPr>
          <w:rFonts w:ascii="Times New Roman"/>
          <w:b w:val="false"/>
          <w:i w:val="false"/>
          <w:color w:val="000000"/>
          <w:sz w:val="28"/>
        </w:rPr>
        <w:t xml:space="preserve">
      3. Information about phenotypes of the bone marrow donors of the Republic of Kazakhstan shall be placed on the information platform "Bone Marrow Donors Search". </w:t>
      </w:r>
    </w:p>
    <w:bookmarkEnd w:id="17"/>
    <w:bookmarkStart w:name="z25" w:id="18"/>
    <w:p>
      <w:pPr>
        <w:spacing w:after="0"/>
        <w:ind w:left="0"/>
        <w:jc w:val="both"/>
      </w:pPr>
      <w:r>
        <w:rPr>
          <w:rFonts w:ascii="Times New Roman"/>
          <w:b w:val="false"/>
          <w:i w:val="false"/>
          <w:color w:val="000000"/>
          <w:sz w:val="28"/>
        </w:rPr>
        <w:t xml:space="preserve">
      4. Searching and activating an HSC donor from the Register of Bone Marrow Donors (hereinafter referred to as the Register) and (or) the World Marrow Donors Association (hereinafter referred to as the association) for the citizens of the Republic of Kazakhstan shall be carried out within the framework of the guaranteed volume  of free medical care. </w:t>
      </w:r>
    </w:p>
    <w:bookmarkEnd w:id="18"/>
    <w:bookmarkStart w:name="z26" w:id="19"/>
    <w:p>
      <w:pPr>
        <w:spacing w:after="0"/>
        <w:ind w:left="0"/>
        <w:jc w:val="both"/>
      </w:pPr>
      <w:r>
        <w:rPr>
          <w:rFonts w:ascii="Times New Roman"/>
          <w:b w:val="false"/>
          <w:i w:val="false"/>
          <w:color w:val="000000"/>
          <w:sz w:val="28"/>
        </w:rPr>
        <w:t>
      5. Loss of documents or other media containing information about HSC donors, as well as their unlawful change by persons who have access to this information in connection with their official activities, shall be prohibited.</w:t>
      </w:r>
    </w:p>
    <w:bookmarkEnd w:id="19"/>
    <w:bookmarkStart w:name="z27" w:id="20"/>
    <w:p>
      <w:pPr>
        <w:spacing w:after="0"/>
        <w:ind w:left="0"/>
        <w:jc w:val="left"/>
      </w:pPr>
      <w:r>
        <w:rPr>
          <w:rFonts w:ascii="Times New Roman"/>
          <w:b/>
          <w:i w:val="false"/>
          <w:color w:val="000000"/>
        </w:rPr>
        <w:t xml:space="preserve"> Chapter 2. The procedure for searching and activating of HSC donors from the Register, including from the international registers, and transporting HSC to the recipient</w:t>
      </w:r>
    </w:p>
    <w:bookmarkEnd w:id="20"/>
    <w:bookmarkStart w:name="z28" w:id="21"/>
    <w:p>
      <w:pPr>
        <w:spacing w:after="0"/>
        <w:ind w:left="0"/>
        <w:jc w:val="both"/>
      </w:pPr>
      <w:r>
        <w:rPr>
          <w:rFonts w:ascii="Times New Roman"/>
          <w:b w:val="false"/>
          <w:i w:val="false"/>
          <w:color w:val="000000"/>
          <w:sz w:val="28"/>
        </w:rPr>
        <w:t>
      6. the search of a matched HSC donor in the information database of the Register and the association shall be carried out based on the principle of histocompatibility.</w:t>
      </w:r>
    </w:p>
    <w:bookmarkEnd w:id="21"/>
    <w:bookmarkStart w:name="z29" w:id="22"/>
    <w:p>
      <w:pPr>
        <w:spacing w:after="0"/>
        <w:ind w:left="0"/>
        <w:jc w:val="both"/>
      </w:pPr>
      <w:r>
        <w:rPr>
          <w:rFonts w:ascii="Times New Roman"/>
          <w:b w:val="false"/>
          <w:i w:val="false"/>
          <w:color w:val="000000"/>
          <w:sz w:val="28"/>
        </w:rPr>
        <w:t>
      7. The application for the search shall be formed by the customer, who has an access to the information database of the Register and (or) the association.</w:t>
      </w:r>
    </w:p>
    <w:bookmarkEnd w:id="22"/>
    <w:bookmarkStart w:name="z30" w:id="23"/>
    <w:p>
      <w:pPr>
        <w:spacing w:after="0"/>
        <w:ind w:left="0"/>
        <w:jc w:val="both"/>
      </w:pPr>
      <w:r>
        <w:rPr>
          <w:rFonts w:ascii="Times New Roman"/>
          <w:b w:val="false"/>
          <w:i w:val="false"/>
          <w:color w:val="000000"/>
          <w:sz w:val="28"/>
        </w:rPr>
        <w:t xml:space="preserve">
      8. If the search result is positive about the presence of a matched HSC donor in the Registry, an application shall be submitted for the search and activation of the donor for the purpose of transplantation. </w:t>
      </w:r>
    </w:p>
    <w:bookmarkEnd w:id="23"/>
    <w:bookmarkStart w:name="z31" w:id="24"/>
    <w:p>
      <w:pPr>
        <w:spacing w:after="0"/>
        <w:ind w:left="0"/>
        <w:jc w:val="both"/>
      </w:pPr>
      <w:r>
        <w:rPr>
          <w:rFonts w:ascii="Times New Roman"/>
          <w:b w:val="false"/>
          <w:i w:val="false"/>
          <w:color w:val="000000"/>
          <w:sz w:val="28"/>
        </w:rPr>
        <w:t xml:space="preserve">
      9. The work on searching and activating a donor from the register shall be carried out within the period of up to two months from the date of receipt of the application. </w:t>
      </w:r>
    </w:p>
    <w:bookmarkEnd w:id="24"/>
    <w:bookmarkStart w:name="z32" w:id="25"/>
    <w:p>
      <w:pPr>
        <w:spacing w:after="0"/>
        <w:ind w:left="0"/>
        <w:jc w:val="both"/>
      </w:pPr>
      <w:r>
        <w:rPr>
          <w:rFonts w:ascii="Times New Roman"/>
          <w:b w:val="false"/>
          <w:i w:val="false"/>
          <w:color w:val="000000"/>
          <w:sz w:val="28"/>
        </w:rPr>
        <w:t xml:space="preserve">
      Upon completion of work, the customer shall be notified about the results thereof. </w:t>
      </w:r>
    </w:p>
    <w:bookmarkEnd w:id="25"/>
    <w:bookmarkStart w:name="z33" w:id="26"/>
    <w:p>
      <w:pPr>
        <w:spacing w:after="0"/>
        <w:ind w:left="0"/>
        <w:jc w:val="both"/>
      </w:pPr>
      <w:r>
        <w:rPr>
          <w:rFonts w:ascii="Times New Roman"/>
          <w:b w:val="false"/>
          <w:i w:val="false"/>
          <w:color w:val="000000"/>
          <w:sz w:val="28"/>
        </w:rPr>
        <w:t>
      If it is necessary to obtain additional information about the location of the HSC donor or his contact details, the search period shall be extended, which is communicated to the customer. </w:t>
      </w:r>
    </w:p>
    <w:bookmarkEnd w:id="26"/>
    <w:bookmarkStart w:name="z34" w:id="27"/>
    <w:p>
      <w:pPr>
        <w:spacing w:after="0"/>
        <w:ind w:left="0"/>
        <w:jc w:val="both"/>
      </w:pPr>
      <w:r>
        <w:rPr>
          <w:rFonts w:ascii="Times New Roman"/>
          <w:b w:val="false"/>
          <w:i w:val="false"/>
          <w:color w:val="000000"/>
          <w:sz w:val="28"/>
        </w:rPr>
        <w:t>
      10. Search in the information base of the association shall be carried out in case of a negative search result for a matched HSC donor from the Register.</w:t>
      </w:r>
    </w:p>
    <w:bookmarkEnd w:id="27"/>
    <w:bookmarkStart w:name="z35" w:id="28"/>
    <w:p>
      <w:pPr>
        <w:spacing w:after="0"/>
        <w:ind w:left="0"/>
        <w:jc w:val="both"/>
      </w:pPr>
      <w:r>
        <w:rPr>
          <w:rFonts w:ascii="Times New Roman"/>
          <w:b w:val="false"/>
          <w:i w:val="false"/>
          <w:color w:val="000000"/>
          <w:sz w:val="28"/>
        </w:rPr>
        <w:t>
      11. An application for the search for an HSC donor from an association for the purpose of transplantation to a recipient - a citizen of the Republic of Kazakhstan shall be carried out by the customer independently.</w:t>
      </w:r>
    </w:p>
    <w:bookmarkEnd w:id="28"/>
    <w:bookmarkStart w:name="z36" w:id="29"/>
    <w:p>
      <w:pPr>
        <w:spacing w:after="0"/>
        <w:ind w:left="0"/>
        <w:jc w:val="both"/>
      </w:pPr>
      <w:r>
        <w:rPr>
          <w:rFonts w:ascii="Times New Roman"/>
          <w:b w:val="false"/>
          <w:i w:val="false"/>
          <w:color w:val="000000"/>
          <w:sz w:val="28"/>
        </w:rPr>
        <w:t xml:space="preserve">
      12. Services of the association shall be paid by the customer according to the issued pro-forma invoices. </w:t>
      </w:r>
    </w:p>
    <w:bookmarkEnd w:id="29"/>
    <w:bookmarkStart w:name="z37" w:id="30"/>
    <w:p>
      <w:pPr>
        <w:spacing w:after="0"/>
        <w:ind w:left="0"/>
        <w:jc w:val="both"/>
      </w:pPr>
      <w:r>
        <w:rPr>
          <w:rFonts w:ascii="Times New Roman"/>
          <w:b w:val="false"/>
          <w:i w:val="false"/>
          <w:color w:val="000000"/>
          <w:sz w:val="28"/>
        </w:rPr>
        <w:t>
      13. Donor activating shall be carried out by obtaining verbal confirmation of consent for donation of hematopoietic stem cells (hereinafter referred to as the HSC) and repeated (control) phenotype study at five loci (HLA-A, HLA-B, HLA-C, HLA-DRB1, HLA-DQB1) to allelic level (4 digits after the letter designation) in order to confirm compatibility with the recipient phenotype.</w:t>
      </w:r>
    </w:p>
    <w:bookmarkEnd w:id="30"/>
    <w:bookmarkStart w:name="z38" w:id="31"/>
    <w:p>
      <w:pPr>
        <w:spacing w:after="0"/>
        <w:ind w:left="0"/>
        <w:jc w:val="both"/>
      </w:pPr>
      <w:r>
        <w:rPr>
          <w:rFonts w:ascii="Times New Roman"/>
          <w:b w:val="false"/>
          <w:i w:val="false"/>
          <w:color w:val="000000"/>
          <w:sz w:val="28"/>
        </w:rPr>
        <w:t>
      14. The donor's medical examination shall be carried out according to the clinical protocol for the examination of bone marrow donors for unrelated allogeneic transplantation, approved by the Republican Center for Health Development.</w:t>
      </w:r>
    </w:p>
    <w:bookmarkEnd w:id="31"/>
    <w:bookmarkStart w:name="z39" w:id="32"/>
    <w:p>
      <w:pPr>
        <w:spacing w:after="0"/>
        <w:ind w:left="0"/>
        <w:jc w:val="both"/>
      </w:pPr>
      <w:r>
        <w:rPr>
          <w:rFonts w:ascii="Times New Roman"/>
          <w:b w:val="false"/>
          <w:i w:val="false"/>
          <w:color w:val="000000"/>
          <w:sz w:val="28"/>
        </w:rPr>
        <w:t xml:space="preserve">
      15. Terms for conditioning of the recipient, donation and transplantation of HSC shall be established by the customer. </w:t>
      </w:r>
    </w:p>
    <w:bookmarkEnd w:id="32"/>
    <w:bookmarkStart w:name="z40" w:id="33"/>
    <w:p>
      <w:pPr>
        <w:spacing w:after="0"/>
        <w:ind w:left="0"/>
        <w:jc w:val="both"/>
      </w:pPr>
      <w:r>
        <w:rPr>
          <w:rFonts w:ascii="Times New Roman"/>
          <w:b w:val="false"/>
          <w:i w:val="false"/>
          <w:color w:val="000000"/>
          <w:sz w:val="28"/>
        </w:rPr>
        <w:t>
      16. Activating, as well as organizing the arrival of the HSC donor for donation shall be carried out by the Register.</w:t>
      </w:r>
    </w:p>
    <w:bookmarkEnd w:id="33"/>
    <w:bookmarkStart w:name="z41" w:id="34"/>
    <w:p>
      <w:pPr>
        <w:spacing w:after="0"/>
        <w:ind w:left="0"/>
        <w:jc w:val="both"/>
      </w:pPr>
      <w:r>
        <w:rPr>
          <w:rFonts w:ascii="Times New Roman"/>
          <w:b w:val="false"/>
          <w:i w:val="false"/>
          <w:color w:val="000000"/>
          <w:sz w:val="28"/>
        </w:rPr>
        <w:t>
      17. HSC shall be transported as a native or cryo preserved product.</w:t>
      </w:r>
    </w:p>
    <w:bookmarkEnd w:id="34"/>
    <w:bookmarkStart w:name="z42" w:id="35"/>
    <w:p>
      <w:pPr>
        <w:spacing w:after="0"/>
        <w:ind w:left="0"/>
        <w:jc w:val="both"/>
      </w:pPr>
      <w:r>
        <w:rPr>
          <w:rFonts w:ascii="Times New Roman"/>
          <w:b w:val="false"/>
          <w:i w:val="false"/>
          <w:color w:val="000000"/>
          <w:sz w:val="28"/>
        </w:rPr>
        <w:t>
      18. The storage temperature and transport time of native HSCs shall be set by the customer.</w:t>
      </w:r>
    </w:p>
    <w:bookmarkEnd w:id="35"/>
    <w:bookmarkStart w:name="z43" w:id="36"/>
    <w:p>
      <w:pPr>
        <w:spacing w:after="0"/>
        <w:ind w:left="0"/>
        <w:jc w:val="both"/>
      </w:pPr>
      <w:r>
        <w:rPr>
          <w:rFonts w:ascii="Times New Roman"/>
          <w:b w:val="false"/>
          <w:i w:val="false"/>
          <w:color w:val="000000"/>
          <w:sz w:val="28"/>
        </w:rPr>
        <w:t>
      19. When transporting cryo-preserved HSCs, a transport system shall be used to ensure the preset storage temperature.</w:t>
      </w:r>
    </w:p>
    <w:bookmarkEnd w:id="36"/>
    <w:bookmarkStart w:name="z44" w:id="37"/>
    <w:p>
      <w:pPr>
        <w:spacing w:after="0"/>
        <w:ind w:left="0"/>
        <w:jc w:val="both"/>
      </w:pPr>
      <w:r>
        <w:rPr>
          <w:rFonts w:ascii="Times New Roman"/>
          <w:b w:val="false"/>
          <w:i w:val="false"/>
          <w:color w:val="000000"/>
          <w:sz w:val="28"/>
        </w:rPr>
        <w:t>
      20. When transporting the HSC, safety measures should be followed to prevent tipping, overturning, product irradiation.</w:t>
      </w:r>
    </w:p>
    <w:bookmarkEnd w:id="37"/>
    <w:bookmarkStart w:name="z45" w:id="38"/>
    <w:p>
      <w:pPr>
        <w:spacing w:after="0"/>
        <w:ind w:left="0"/>
        <w:jc w:val="both"/>
      </w:pPr>
      <w:r>
        <w:rPr>
          <w:rFonts w:ascii="Times New Roman"/>
          <w:b w:val="false"/>
          <w:i w:val="false"/>
          <w:color w:val="000000"/>
          <w:sz w:val="28"/>
        </w:rPr>
        <w:t xml:space="preserve">
      21. The customer shall organize the HSC transportation to the recipient.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