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7828" w14:textId="2537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use of electronic identifiers (navigation seals)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Finance of the Republic of Kazakhstan dated October 8, 2020 № 971. Registered with the Ministry of Justice of the Republic of Kazakhstan on October 9, 2020 № 21383. Expired by Order of the Minister of Finance of the Republic of Kazakhstan dated 17.07.2024 № 457 (effective from 23.11.2024).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Expired by Order of the Minister of Finance of the Republic of Kazakhstan dated 17.07.2024 № 457 (effective from 23.11.2024).</w:t>
      </w:r>
    </w:p>
    <w:p>
      <w:pPr>
        <w:spacing w:after="0"/>
        <w:ind w:left="0"/>
        <w:jc w:val="both"/>
      </w:pPr>
      <w:r>
        <w:rPr>
          <w:rFonts w:ascii="Times New Roman"/>
          <w:b w:val="false"/>
          <w:i w:val="false"/>
          <w:color w:val="000000"/>
          <w:sz w:val="28"/>
        </w:rPr>
        <w:t>
      In accordance with clause 6 of article 45 of the Law of the Republic of Kazakhstan dated July 4, 2003 "On Automobile Transport", I HEREBY ORDER:</w:t>
      </w:r>
    </w:p>
    <w:p>
      <w:pPr>
        <w:spacing w:after="0"/>
        <w:ind w:left="0"/>
        <w:jc w:val="both"/>
      </w:pPr>
      <w:r>
        <w:rPr>
          <w:rFonts w:ascii="Times New Roman"/>
          <w:b w:val="false"/>
          <w:i w:val="false"/>
          <w:color w:val="000000"/>
          <w:sz w:val="28"/>
        </w:rPr>
        <w:t>
      1. To approve the attached Rules for the use of electronic identifiers (navigation seals).</w:t>
      </w:r>
    </w:p>
    <w:p>
      <w:pPr>
        <w:spacing w:after="0"/>
        <w:ind w:left="0"/>
        <w:jc w:val="both"/>
      </w:pPr>
      <w:r>
        <w:rPr>
          <w:rFonts w:ascii="Times New Roman"/>
          <w:b w:val="false"/>
          <w:i w:val="false"/>
          <w:color w:val="000000"/>
          <w:sz w:val="28"/>
        </w:rPr>
        <w:t>
      2. The State Revenue Committee of the Ministry of Finance г of the Republic of Kazakhstan, in accordance with the procedure, established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Finance of the Republic of Kazakhstan;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Service Department of the Ministry of Finance of the Republic of Kazakhstan, of information about implementation of measures, stipulated by subclauses 1) and 2) of this clause.</w:t>
      </w:r>
    </w:p>
    <w:p>
      <w:pPr>
        <w:spacing w:after="0"/>
        <w:ind w:left="0"/>
        <w:jc w:val="both"/>
      </w:pPr>
      <w:r>
        <w:rPr>
          <w:rFonts w:ascii="Times New Roman"/>
          <w:b w:val="false"/>
          <w:i w:val="false"/>
          <w:color w:val="000000"/>
          <w:sz w:val="28"/>
        </w:rPr>
        <w:t>
      3. This order shall come into force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Finance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Zhamaubayev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order of the</w:t>
            </w:r>
            <w:r>
              <w:br/>
            </w:r>
            <w:r>
              <w:rPr>
                <w:rFonts w:ascii="Times New Roman"/>
                <w:b w:val="false"/>
                <w:i w:val="false"/>
                <w:color w:val="000000"/>
                <w:sz w:val="20"/>
              </w:rPr>
              <w:t xml:space="preserve"> Minister of Finance </w:t>
            </w:r>
            <w:r>
              <w:br/>
            </w:r>
            <w:r>
              <w:rPr>
                <w:rFonts w:ascii="Times New Roman"/>
                <w:b w:val="false"/>
                <w:i w:val="false"/>
                <w:color w:val="000000"/>
                <w:sz w:val="20"/>
              </w:rPr>
              <w:t>of the Republic of Kazakhstan</w:t>
            </w:r>
            <w:r>
              <w:br/>
            </w:r>
            <w:r>
              <w:rPr>
                <w:rFonts w:ascii="Times New Roman"/>
                <w:b w:val="false"/>
                <w:i w:val="false"/>
                <w:color w:val="000000"/>
                <w:sz w:val="20"/>
              </w:rPr>
              <w:t>dated October 8, 2020 No. 971</w:t>
            </w:r>
          </w:p>
        </w:tc>
      </w:tr>
    </w:tbl>
    <w:p>
      <w:pPr>
        <w:spacing w:after="0"/>
        <w:ind w:left="0"/>
        <w:jc w:val="left"/>
      </w:pPr>
      <w:r>
        <w:rPr>
          <w:rFonts w:ascii="Times New Roman"/>
          <w:b/>
          <w:i w:val="false"/>
          <w:color w:val="000000"/>
        </w:rPr>
        <w:t xml:space="preserve"> Rules the use of electronic identifiers (navigation seals) Chapter 1. General Provisions</w:t>
      </w:r>
    </w:p>
    <w:p>
      <w:pPr>
        <w:spacing w:after="0"/>
        <w:ind w:left="0"/>
        <w:jc w:val="both"/>
      </w:pPr>
      <w:r>
        <w:rPr>
          <w:rFonts w:ascii="Times New Roman"/>
          <w:b w:val="false"/>
          <w:i w:val="false"/>
          <w:color w:val="000000"/>
          <w:sz w:val="28"/>
        </w:rPr>
        <w:t>
      1. These Rules for the use of electronic identifiers (navigation seals) (hereinafter referred to as the Rules) have been developed in accordance with clause 6 of article 45 of the Law of the Republic of Kazakhstan dated July 4, 2003 "On Automobile Transport" and shall determine the procedure for the use of electronic identifiers (navigation seals) by state revenue bodies on motor vehicles.</w:t>
      </w:r>
    </w:p>
    <w:p>
      <w:pPr>
        <w:spacing w:after="0"/>
        <w:ind w:left="0"/>
        <w:jc w:val="both"/>
      </w:pPr>
      <w:r>
        <w:rPr>
          <w:rFonts w:ascii="Times New Roman"/>
          <w:b w:val="false"/>
          <w:i w:val="false"/>
          <w:color w:val="000000"/>
          <w:sz w:val="28"/>
        </w:rPr>
        <w:t>
      2. The following concepts are used within the framework of these Rules:</w:t>
      </w:r>
    </w:p>
    <w:p>
      <w:pPr>
        <w:spacing w:after="0"/>
        <w:ind w:left="0"/>
        <w:jc w:val="both"/>
      </w:pPr>
      <w:r>
        <w:rPr>
          <w:rFonts w:ascii="Times New Roman"/>
          <w:b w:val="false"/>
          <w:i w:val="false"/>
          <w:color w:val="000000"/>
          <w:sz w:val="28"/>
        </w:rPr>
        <w:t>
      1) a freighter – an individual or a legal entity on behalf of which the shipment of freight is documented;</w:t>
      </w:r>
    </w:p>
    <w:p>
      <w:pPr>
        <w:spacing w:after="0"/>
        <w:ind w:left="0"/>
        <w:jc w:val="both"/>
      </w:pPr>
      <w:r>
        <w:rPr>
          <w:rFonts w:ascii="Times New Roman"/>
          <w:b w:val="false"/>
          <w:i w:val="false"/>
          <w:color w:val="000000"/>
          <w:sz w:val="28"/>
        </w:rPr>
        <w:t>
      2) a recipient of freight – an individual or a legal entity, authorized for the receipt of the freight on the basis of a contract;</w:t>
      </w:r>
    </w:p>
    <w:p>
      <w:pPr>
        <w:spacing w:after="0"/>
        <w:ind w:left="0"/>
        <w:jc w:val="both"/>
      </w:pPr>
      <w:r>
        <w:rPr>
          <w:rFonts w:ascii="Times New Roman"/>
          <w:b w:val="false"/>
          <w:i w:val="false"/>
          <w:color w:val="000000"/>
          <w:sz w:val="28"/>
        </w:rPr>
        <w:t>
      3) the State Revenue Committee of the Ministry of Finance of the Republic of Kazakhstan (hereinafter referred to as the Committee) – a state body, ensuring, within its competence, the receipt of taxes and payments to the budget, customs regulation in the Republic of Kazakhstan, powers to prevent, identify, suppress and disclose administrative offenses attributed by the legislation of the Republic of Kazakhstan to the jurisdiction of this body, as well as performing other powers prescribed by the legislation of the Republic of Kazakhstan;</w:t>
      </w:r>
    </w:p>
    <w:p>
      <w:pPr>
        <w:spacing w:after="0"/>
        <w:ind w:left="0"/>
        <w:jc w:val="both"/>
      </w:pPr>
      <w:r>
        <w:rPr>
          <w:rFonts w:ascii="Times New Roman"/>
          <w:b w:val="false"/>
          <w:i w:val="false"/>
          <w:color w:val="000000"/>
          <w:sz w:val="28"/>
        </w:rPr>
        <w:t>
      4) "Route Tracker" Information System – an information system of the operator of the information system for tracking international automobile transfers, through which control over goods and vehicles moving across the territory of the Republic of Kazakhstan is carried out;</w:t>
      </w:r>
    </w:p>
    <w:p>
      <w:pPr>
        <w:spacing w:after="0"/>
        <w:ind w:left="0"/>
        <w:jc w:val="both"/>
      </w:pPr>
      <w:r>
        <w:rPr>
          <w:rFonts w:ascii="Times New Roman"/>
          <w:b w:val="false"/>
          <w:i w:val="false"/>
          <w:color w:val="000000"/>
          <w:sz w:val="28"/>
        </w:rPr>
        <w:t>
      5) a state revenue body – a territorial subdivision of the State Revenue Committee of the Ministry of Finance of the Republic of Kazakhstan;</w:t>
      </w:r>
    </w:p>
    <w:p>
      <w:pPr>
        <w:spacing w:after="0"/>
        <w:ind w:left="0"/>
        <w:jc w:val="both"/>
      </w:pPr>
      <w:r>
        <w:rPr>
          <w:rFonts w:ascii="Times New Roman"/>
          <w:b w:val="false"/>
          <w:i w:val="false"/>
          <w:color w:val="000000"/>
          <w:sz w:val="28"/>
        </w:rPr>
        <w:t>
      6) a carrier – an individual or a legal entity that owns motor vehicles, with the exception of light motor vehicles, on the basis of ownership or on other legal grounds, carrying out entrepreneurial activities in the transportation of goods;</w:t>
      </w:r>
    </w:p>
    <w:p>
      <w:pPr>
        <w:spacing w:after="0"/>
        <w:ind w:left="0"/>
        <w:jc w:val="both"/>
      </w:pPr>
      <w:r>
        <w:rPr>
          <w:rFonts w:ascii="Times New Roman"/>
          <w:b w:val="false"/>
          <w:i w:val="false"/>
          <w:color w:val="000000"/>
          <w:sz w:val="28"/>
        </w:rPr>
        <w:t>
      7) the national operator of the international road transport tracking information system (hereinafter referred to as the – Operator) – a person, determined by the Government of the Republic of Kazakhstan in accordance with article 14-1 of the Law of the Republic of Kazakhstan dated July 4, 2003 "On Automobile Transport";</w:t>
      </w:r>
    </w:p>
    <w:p>
      <w:pPr>
        <w:spacing w:after="0"/>
        <w:ind w:left="0"/>
        <w:jc w:val="both"/>
      </w:pPr>
      <w:r>
        <w:rPr>
          <w:rFonts w:ascii="Times New Roman"/>
          <w:b w:val="false"/>
          <w:i w:val="false"/>
          <w:color w:val="000000"/>
          <w:sz w:val="28"/>
        </w:rPr>
        <w:t>
      8) an electronic identifier (navigation seal) - a device that ensures the transfer of information about the route of movement of the motor vehicle, as well as the safety (opening) of the device, to the information system for tracking international automobile transfers.</w:t>
      </w:r>
    </w:p>
    <w:p>
      <w:pPr>
        <w:spacing w:after="0"/>
        <w:ind w:left="0"/>
        <w:jc w:val="left"/>
      </w:pPr>
      <w:r>
        <w:rPr>
          <w:rFonts w:ascii="Times New Roman"/>
          <w:b/>
          <w:i w:val="false"/>
          <w:color w:val="000000"/>
        </w:rPr>
        <w:t xml:space="preserve"> Chapter 2. Procedure for the use of electronic identifiers (navigation seals)</w:t>
      </w:r>
    </w:p>
    <w:p>
      <w:pPr>
        <w:spacing w:after="0"/>
        <w:ind w:left="0"/>
        <w:jc w:val="both"/>
      </w:pPr>
      <w:r>
        <w:rPr>
          <w:rFonts w:ascii="Times New Roman"/>
          <w:b w:val="false"/>
          <w:i w:val="false"/>
          <w:color w:val="000000"/>
          <w:sz w:val="28"/>
        </w:rPr>
        <w:t>
      3. When carrying out international automobile transfers of goods from the member states of the Eurasian Economic Union (hereinafter referred to as the EAEU) to the Republic of Kazakhstan or from one member-state of the EAEU to another member state of the EAEU in transit through the territory of the Republic of Kazakhstan, cargo compartments of vehicles shall be sealed by the territorial state revenue bodies on the State border of the Republic of Kazakhstan with the EAEU member states (hereinafter referred to as the state border) with electronic identifiers (navigation seals).</w:t>
      </w:r>
    </w:p>
    <w:p>
      <w:pPr>
        <w:spacing w:after="0"/>
        <w:ind w:left="0"/>
        <w:jc w:val="both"/>
      </w:pPr>
      <w:r>
        <w:rPr>
          <w:rFonts w:ascii="Times New Roman"/>
          <w:b w:val="false"/>
          <w:i w:val="false"/>
          <w:color w:val="000000"/>
          <w:sz w:val="28"/>
        </w:rPr>
        <w:t>
      4. When a vehicle enters the territory of the Republic of Kazakhstan at an automobile checkpoint on the state border, an official of the territorial body of state revenue (hereinafter referred to as the - official) shall request from the carrier the consignment notes (CMR, bill of lading) with information about the transported cargo, route of travel and shall put into the "Route Tracker" information system the following information:</w:t>
      </w:r>
    </w:p>
    <w:p>
      <w:pPr>
        <w:spacing w:after="0"/>
        <w:ind w:left="0"/>
        <w:jc w:val="both"/>
      </w:pPr>
      <w:r>
        <w:rPr>
          <w:rFonts w:ascii="Times New Roman"/>
          <w:b w:val="false"/>
          <w:i w:val="false"/>
          <w:color w:val="000000"/>
          <w:sz w:val="28"/>
        </w:rPr>
        <w:t>
      1) state registration license plate number of the motor vehicle, the country of registration;</w:t>
      </w:r>
    </w:p>
    <w:p>
      <w:pPr>
        <w:spacing w:after="0"/>
        <w:ind w:left="0"/>
        <w:jc w:val="both"/>
      </w:pPr>
      <w:r>
        <w:rPr>
          <w:rFonts w:ascii="Times New Roman"/>
          <w:b w:val="false"/>
          <w:i w:val="false"/>
          <w:color w:val="000000"/>
          <w:sz w:val="28"/>
        </w:rPr>
        <w:t>
      2) type of object (s) to be sealed (motor vehicle, trailer, semitrailer);</w:t>
      </w:r>
    </w:p>
    <w:p>
      <w:pPr>
        <w:spacing w:after="0"/>
        <w:ind w:left="0"/>
        <w:jc w:val="both"/>
      </w:pPr>
      <w:r>
        <w:rPr>
          <w:rFonts w:ascii="Times New Roman"/>
          <w:b w:val="false"/>
          <w:i w:val="false"/>
          <w:color w:val="000000"/>
          <w:sz w:val="28"/>
        </w:rPr>
        <w:t>
      3) number and date of the consignment note (CMR, bill of lading);</w:t>
      </w:r>
    </w:p>
    <w:p>
      <w:pPr>
        <w:spacing w:after="0"/>
        <w:ind w:left="0"/>
        <w:jc w:val="both"/>
      </w:pPr>
      <w:r>
        <w:rPr>
          <w:rFonts w:ascii="Times New Roman"/>
          <w:b w:val="false"/>
          <w:i w:val="false"/>
          <w:color w:val="000000"/>
          <w:sz w:val="28"/>
        </w:rPr>
        <w:t>
      4) codes of goods in accordance with the Commodity Nomenclature of the EAEU foreign economic activities;</w:t>
      </w:r>
    </w:p>
    <w:p>
      <w:pPr>
        <w:spacing w:after="0"/>
        <w:ind w:left="0"/>
        <w:jc w:val="both"/>
      </w:pPr>
      <w:r>
        <w:rPr>
          <w:rFonts w:ascii="Times New Roman"/>
          <w:b w:val="false"/>
          <w:i w:val="false"/>
          <w:color w:val="000000"/>
          <w:sz w:val="28"/>
        </w:rPr>
        <w:t>
      5) name of the carrier, the country of registration of the carrier;</w:t>
      </w:r>
    </w:p>
    <w:p>
      <w:pPr>
        <w:spacing w:after="0"/>
        <w:ind w:left="0"/>
        <w:jc w:val="both"/>
      </w:pPr>
      <w:r>
        <w:rPr>
          <w:rFonts w:ascii="Times New Roman"/>
          <w:b w:val="false"/>
          <w:i w:val="false"/>
          <w:color w:val="000000"/>
          <w:sz w:val="28"/>
        </w:rPr>
        <w:t>
      6) surname, name, patronymic (if any) of the driver of the vehicle, telephone number;</w:t>
      </w:r>
    </w:p>
    <w:p>
      <w:pPr>
        <w:spacing w:after="0"/>
        <w:ind w:left="0"/>
        <w:jc w:val="both"/>
      </w:pPr>
      <w:r>
        <w:rPr>
          <w:rFonts w:ascii="Times New Roman"/>
          <w:b w:val="false"/>
          <w:i w:val="false"/>
          <w:color w:val="000000"/>
          <w:sz w:val="28"/>
        </w:rPr>
        <w:t>
      7) endorsements (estimated date for goods delivery).</w:t>
      </w:r>
    </w:p>
    <w:p>
      <w:pPr>
        <w:spacing w:after="0"/>
        <w:ind w:left="0"/>
        <w:jc w:val="both"/>
      </w:pPr>
      <w:r>
        <w:rPr>
          <w:rFonts w:ascii="Times New Roman"/>
          <w:b w:val="false"/>
          <w:i w:val="false"/>
          <w:color w:val="000000"/>
          <w:sz w:val="28"/>
        </w:rPr>
        <w:t>
      5. The official, after putting the necessary information into the "Route Tracker" information system, installs an electronic identifier (navigation seal) on the cargo compartment of the vehicle, informs the Operator about the beginning of the route of the vehicle and activates the electronic identifier (navigation seal).</w:t>
      </w:r>
    </w:p>
    <w:p>
      <w:pPr>
        <w:spacing w:after="0"/>
        <w:ind w:left="0"/>
        <w:jc w:val="both"/>
      </w:pPr>
      <w:r>
        <w:rPr>
          <w:rFonts w:ascii="Times New Roman"/>
          <w:b w:val="false"/>
          <w:i w:val="false"/>
          <w:color w:val="000000"/>
          <w:sz w:val="28"/>
        </w:rPr>
        <w:t>
      6. On departure of a vehicle from the Republic of Kazakhstan, an official at the state border inspects the electronic identifier (navigation seal) in order to determine the serviceability, integrity and (or) the presence of damage.</w:t>
      </w:r>
    </w:p>
    <w:p>
      <w:pPr>
        <w:spacing w:after="0"/>
        <w:ind w:left="0"/>
        <w:jc w:val="both"/>
      </w:pPr>
      <w:r>
        <w:rPr>
          <w:rFonts w:ascii="Times New Roman"/>
          <w:b w:val="false"/>
          <w:i w:val="false"/>
          <w:color w:val="000000"/>
          <w:sz w:val="28"/>
        </w:rPr>
        <w:t>
      After the inspection, the official informs the Operator about the completion of the route of the motor vehicle in the territory of the Republic of Kazakhstan, deactivates and removes the electronic identifier (navigation seal).</w:t>
      </w:r>
    </w:p>
    <w:p>
      <w:pPr>
        <w:spacing w:after="0"/>
        <w:ind w:left="0"/>
        <w:jc w:val="both"/>
      </w:pPr>
      <w:r>
        <w:rPr>
          <w:rFonts w:ascii="Times New Roman"/>
          <w:b w:val="false"/>
          <w:i w:val="false"/>
          <w:color w:val="000000"/>
          <w:sz w:val="28"/>
        </w:rPr>
        <w:t>
      7. After removing the electronic identifier (navigation seal), the official must charge of the electronic identifier (navigation seal) to ensure uninterrupted operability during its subsequent installation on other vehicles.</w:t>
      </w:r>
    </w:p>
    <w:p>
      <w:pPr>
        <w:spacing w:after="0"/>
        <w:ind w:left="0"/>
        <w:jc w:val="both"/>
      </w:pPr>
      <w:r>
        <w:rPr>
          <w:rFonts w:ascii="Times New Roman"/>
          <w:b w:val="false"/>
          <w:i w:val="false"/>
          <w:color w:val="000000"/>
          <w:sz w:val="28"/>
        </w:rPr>
        <w:t>
      8. Registration of sealing and removing electronic identifiers (navigation seals) shall be carried out by the Operator and the territorial state revenue body. The Operator shall send registration information to the Committee weekly on Thursdays according to Appendix 1 to these Rules.</w:t>
      </w:r>
    </w:p>
    <w:p>
      <w:pPr>
        <w:spacing w:after="0"/>
        <w:ind w:left="0"/>
        <w:jc w:val="both"/>
      </w:pPr>
      <w:r>
        <w:rPr>
          <w:rFonts w:ascii="Times New Roman"/>
          <w:b w:val="false"/>
          <w:i w:val="false"/>
          <w:color w:val="000000"/>
          <w:sz w:val="28"/>
        </w:rPr>
        <w:t>
      9. If circumstances arise that prevent the carrier from fulfilling his duties or further transportation of goods due to an accident, force majeure or other circumstances that prevent the delivery of goods, the carrier or the person moving the goods, shall take all measures to ensure the safety of the goods and the vehicle, immediately inform the nearest authority state revenues and the Operator about these circumstances and about the location of the goods.</w:t>
      </w:r>
    </w:p>
    <w:p>
      <w:pPr>
        <w:spacing w:after="0"/>
        <w:ind w:left="0"/>
        <w:jc w:val="both"/>
      </w:pPr>
      <w:r>
        <w:rPr>
          <w:rFonts w:ascii="Times New Roman"/>
          <w:b w:val="false"/>
          <w:i w:val="false"/>
          <w:color w:val="000000"/>
          <w:sz w:val="28"/>
        </w:rPr>
        <w:t>
      10. Upon arrival at the location of the vehicle, an official shall draw up a report on the circumstances that prevent further transportation of goods, according to Appendix 2 to these Rules. After drawing up the report, the official shall make a decision to remove the electronic identifier (navigation seal) and establish it in case of integrity and absence of damage to another vehicle.</w:t>
      </w:r>
    </w:p>
    <w:p>
      <w:pPr>
        <w:spacing w:after="0"/>
        <w:ind w:left="0"/>
        <w:jc w:val="both"/>
      </w:pPr>
      <w:r>
        <w:rPr>
          <w:rFonts w:ascii="Times New Roman"/>
          <w:b w:val="false"/>
          <w:i w:val="false"/>
          <w:color w:val="000000"/>
          <w:sz w:val="28"/>
        </w:rPr>
        <w:t>
      11. After installation of an electronic identifier (navigation seal), the official shall carry out activities stipulated by clauses 4 and 5 of these Rules.</w:t>
      </w:r>
    </w:p>
    <w:p>
      <w:pPr>
        <w:spacing w:after="0"/>
        <w:ind w:left="0"/>
        <w:jc w:val="both"/>
      </w:pPr>
      <w:r>
        <w:rPr>
          <w:rFonts w:ascii="Times New Roman"/>
          <w:b w:val="false"/>
          <w:i w:val="false"/>
          <w:color w:val="000000"/>
          <w:sz w:val="28"/>
        </w:rPr>
        <w:t>
      12. The operator is obliged immediately, on a 24 hours a day, 7 days a week basis, to inform about the following circumstances that have arisen during the transportation of goods, the Committee and the state revenue body on whose territory the circumstances have arisen:</w:t>
      </w:r>
    </w:p>
    <w:p>
      <w:pPr>
        <w:spacing w:after="0"/>
        <w:ind w:left="0"/>
        <w:jc w:val="both"/>
      </w:pPr>
      <w:r>
        <w:rPr>
          <w:rFonts w:ascii="Times New Roman"/>
          <w:b w:val="false"/>
          <w:i w:val="false"/>
          <w:color w:val="000000"/>
          <w:sz w:val="28"/>
        </w:rPr>
        <w:t>
      1) deviation of a vehicle from the route (highway of republican significance) at a distance of more than 1 (one) kilometer;</w:t>
      </w:r>
    </w:p>
    <w:p>
      <w:pPr>
        <w:spacing w:after="0"/>
        <w:ind w:left="0"/>
        <w:jc w:val="both"/>
      </w:pPr>
      <w:r>
        <w:rPr>
          <w:rFonts w:ascii="Times New Roman"/>
          <w:b w:val="false"/>
          <w:i w:val="false"/>
          <w:color w:val="000000"/>
          <w:sz w:val="28"/>
        </w:rPr>
        <w:t>
      2) receipt of a signal from the electronic identifier (navigation seal) about a possible opening (malfunction) of the electronic identifier (navigation seal) or about a decrease in the battery level of the electronic identifier (navigation seal) to 10% and below;</w:t>
      </w:r>
    </w:p>
    <w:p>
      <w:pPr>
        <w:spacing w:after="0"/>
        <w:ind w:left="0"/>
        <w:jc w:val="both"/>
      </w:pPr>
      <w:r>
        <w:rPr>
          <w:rFonts w:ascii="Times New Roman"/>
          <w:b w:val="false"/>
          <w:i w:val="false"/>
          <w:color w:val="000000"/>
          <w:sz w:val="28"/>
        </w:rPr>
        <w:t>
      3) lack of communication with the electronic identifier (navigation seal) for more than 2 (two) hours;</w:t>
      </w:r>
    </w:p>
    <w:p>
      <w:pPr>
        <w:spacing w:after="0"/>
        <w:ind w:left="0"/>
        <w:jc w:val="both"/>
      </w:pPr>
      <w:r>
        <w:rPr>
          <w:rFonts w:ascii="Times New Roman"/>
          <w:b w:val="false"/>
          <w:i w:val="false"/>
          <w:color w:val="000000"/>
          <w:sz w:val="28"/>
        </w:rPr>
        <w:t>
      4) uncoupling the rolling stock, on which the electronic identifier (navigation seal) is installed, from the motor vehicle;</w:t>
      </w:r>
    </w:p>
    <w:p>
      <w:pPr>
        <w:spacing w:after="0"/>
        <w:ind w:left="0"/>
        <w:jc w:val="both"/>
      </w:pPr>
      <w:r>
        <w:rPr>
          <w:rFonts w:ascii="Times New Roman"/>
          <w:b w:val="false"/>
          <w:i w:val="false"/>
          <w:color w:val="000000"/>
          <w:sz w:val="28"/>
        </w:rPr>
        <w:t>
      5) the occurrence of a technical malfunction of a motor vehicle along the route.</w:t>
      </w:r>
    </w:p>
    <w:p>
      <w:pPr>
        <w:spacing w:after="0"/>
        <w:ind w:left="0"/>
        <w:jc w:val="both"/>
      </w:pPr>
      <w:r>
        <w:rPr>
          <w:rFonts w:ascii="Times New Roman"/>
          <w:b w:val="false"/>
          <w:i w:val="false"/>
          <w:color w:val="000000"/>
          <w:sz w:val="28"/>
        </w:rPr>
        <w:t>
      13. The state revenue body, in whose territory the circumstances have arisen, shall conduct a thematic audit in accordance with subclauses 15) and 18) of clause 1 of article 142 of the Code of the Republic of Kazakhstan dated December 25, 2017 "On taxes and other obligatory payments to the budget (Tax Code)".</w:t>
      </w:r>
    </w:p>
    <w:p>
      <w:pPr>
        <w:spacing w:after="0"/>
        <w:ind w:left="0"/>
        <w:jc w:val="both"/>
      </w:pPr>
      <w:r>
        <w:rPr>
          <w:rFonts w:ascii="Times New Roman"/>
          <w:b w:val="false"/>
          <w:i w:val="false"/>
          <w:color w:val="000000"/>
          <w:sz w:val="28"/>
        </w:rPr>
        <w:t>
      14. Upon completion of the thematic audit, the state revenue body through the communication channel shall inform the Committee about the results of its conduct.</w:t>
      </w:r>
    </w:p>
    <w:p>
      <w:pPr>
        <w:spacing w:after="0"/>
        <w:ind w:left="0"/>
        <w:jc w:val="both"/>
      </w:pPr>
      <w:r>
        <w:rPr>
          <w:rFonts w:ascii="Times New Roman"/>
          <w:b w:val="false"/>
          <w:i w:val="false"/>
          <w:color w:val="000000"/>
          <w:sz w:val="28"/>
        </w:rPr>
        <w:t>
      15. In case of confirmation, based on the results of a thematic inspection carried out by the state revenue authority, of the circumstances that prevent the carrier from fulfilling his duties or further transportation of goods due to an accident, force majeure or other circumstances that prevent the delivery of goods, the official shall inform the Committee and the Operator about the possibility of further movement of the goods by transshipment of goods to another vehicle with the installation of another electronic identifier (navigation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Rules for </w:t>
            </w:r>
            <w:r>
              <w:br/>
            </w:r>
            <w:r>
              <w:rPr>
                <w:rFonts w:ascii="Times New Roman"/>
                <w:b w:val="false"/>
                <w:i w:val="false"/>
                <w:color w:val="000000"/>
                <w:sz w:val="20"/>
              </w:rPr>
              <w:t xml:space="preserve">the use of electronic identifiers </w:t>
            </w:r>
            <w:r>
              <w:br/>
            </w:r>
            <w:r>
              <w:rPr>
                <w:rFonts w:ascii="Times New Roman"/>
                <w:b w:val="false"/>
                <w:i w:val="false"/>
                <w:color w:val="000000"/>
                <w:sz w:val="20"/>
              </w:rPr>
              <w:t>(navigation seals)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Registration of sealing and removal of electronic identifiers (navigation seals)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license plate number of a motor vehicle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license plate number of a trailer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driver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identifier (navigation seal) 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electronic identifiers (navigation seals)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point (automobile checkpoint)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 (automobile checkpoint)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installation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removal</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w:t>
            </w:r>
            <w:r>
              <w:br/>
            </w:r>
            <w:r>
              <w:rPr>
                <w:rFonts w:ascii="Times New Roman"/>
                <w:b w:val="false"/>
                <w:i w:val="false"/>
                <w:color w:val="000000"/>
                <w:sz w:val="20"/>
              </w:rPr>
              <w:t xml:space="preserve">the use of electronic identifiers </w:t>
            </w:r>
            <w:r>
              <w:br/>
            </w:r>
            <w:r>
              <w:rPr>
                <w:rFonts w:ascii="Times New Roman"/>
                <w:b w:val="false"/>
                <w:i w:val="false"/>
                <w:color w:val="000000"/>
                <w:sz w:val="20"/>
              </w:rPr>
              <w:t>(navigation seals)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Report </w:t>
      </w:r>
      <w:r>
        <w:br/>
      </w:r>
      <w:r>
        <w:rPr>
          <w:rFonts w:ascii="Times New Roman"/>
          <w:b/>
          <w:i w:val="false"/>
          <w:color w:val="000000"/>
        </w:rPr>
        <w:t>on circumstances that prevent further transportation of goods</w:t>
      </w:r>
    </w:p>
    <w:p>
      <w:pPr>
        <w:spacing w:after="0"/>
        <w:ind w:left="0"/>
        <w:jc w:val="both"/>
      </w:pPr>
      <w:r>
        <w:rPr>
          <w:rFonts w:ascii="Times New Roman"/>
          <w:b w:val="false"/>
          <w:i w:val="false"/>
          <w:color w:val="000000"/>
          <w:sz w:val="28"/>
        </w:rPr>
        <w:t>
      I, _______________________________________________________________,</w:t>
      </w:r>
    </w:p>
    <w:p>
      <w:pPr>
        <w:spacing w:after="0"/>
        <w:ind w:left="0"/>
        <w:jc w:val="both"/>
      </w:pPr>
      <w:r>
        <w:rPr>
          <w:rFonts w:ascii="Times New Roman"/>
          <w:b w:val="false"/>
          <w:i w:val="false"/>
          <w:color w:val="000000"/>
          <w:sz w:val="28"/>
        </w:rPr>
        <w:t xml:space="preserve">
      surname, name, patronymic (if any) (hereinafter referred to as the – surname, name, patronymic) position of the employee </w:t>
      </w:r>
    </w:p>
    <w:p>
      <w:pPr>
        <w:spacing w:after="0"/>
        <w:ind w:left="0"/>
        <w:jc w:val="both"/>
      </w:pPr>
      <w:r>
        <w:rPr>
          <w:rFonts w:ascii="Times New Roman"/>
          <w:b w:val="false"/>
          <w:i w:val="false"/>
          <w:color w:val="000000"/>
          <w:sz w:val="28"/>
        </w:rPr>
        <w:t xml:space="preserve">
      of state revenue bodies </w:t>
      </w:r>
    </w:p>
    <w:p>
      <w:pPr>
        <w:spacing w:after="0"/>
        <w:ind w:left="0"/>
        <w:jc w:val="both"/>
      </w:pPr>
      <w:r>
        <w:rPr>
          <w:rFonts w:ascii="Times New Roman"/>
          <w:b w:val="false"/>
          <w:i w:val="false"/>
          <w:color w:val="000000"/>
          <w:sz w:val="28"/>
        </w:rPr>
        <w:t>
      State Revenue Office for _______________________________________</w:t>
      </w:r>
    </w:p>
    <w:p>
      <w:pPr>
        <w:spacing w:after="0"/>
        <w:ind w:left="0"/>
        <w:jc w:val="both"/>
      </w:pPr>
      <w:r>
        <w:rPr>
          <w:rFonts w:ascii="Times New Roman"/>
          <w:b w:val="false"/>
          <w:i w:val="false"/>
          <w:color w:val="000000"/>
          <w:sz w:val="28"/>
        </w:rPr>
        <w:t>
      of the State Revenue Department for _____________________________________</w:t>
      </w:r>
    </w:p>
    <w:p>
      <w:pPr>
        <w:spacing w:after="0"/>
        <w:ind w:left="0"/>
        <w:jc w:val="both"/>
      </w:pPr>
      <w:r>
        <w:rPr>
          <w:rFonts w:ascii="Times New Roman"/>
          <w:b w:val="false"/>
          <w:i w:val="false"/>
          <w:color w:val="000000"/>
          <w:sz w:val="28"/>
        </w:rPr>
        <w:t>
      in the presence of driver _____________________________________________________</w:t>
      </w:r>
    </w:p>
    <w:p>
      <w:pPr>
        <w:spacing w:after="0"/>
        <w:ind w:left="0"/>
        <w:jc w:val="both"/>
      </w:pPr>
      <w:r>
        <w:rPr>
          <w:rFonts w:ascii="Times New Roman"/>
          <w:b w:val="false"/>
          <w:i w:val="false"/>
          <w:color w:val="000000"/>
          <w:sz w:val="28"/>
        </w:rPr>
        <w:t xml:space="preserve">
                                     surname, name, patronymic of the driver </w:t>
      </w:r>
    </w:p>
    <w:p>
      <w:pPr>
        <w:spacing w:after="0"/>
        <w:ind w:left="0"/>
        <w:jc w:val="both"/>
      </w:pPr>
      <w:r>
        <w:rPr>
          <w:rFonts w:ascii="Times New Roman"/>
          <w:b w:val="false"/>
          <w:i w:val="false"/>
          <w:color w:val="000000"/>
          <w:sz w:val="28"/>
        </w:rPr>
        <w:t xml:space="preserve">
      have performed an inspection of the motor vehicle of car make_____________________________, </w:t>
      </w:r>
    </w:p>
    <w:p>
      <w:pPr>
        <w:spacing w:after="0"/>
        <w:ind w:left="0"/>
        <w:jc w:val="both"/>
      </w:pPr>
      <w:r>
        <w:rPr>
          <w:rFonts w:ascii="Times New Roman"/>
          <w:b w:val="false"/>
          <w:i w:val="false"/>
          <w:color w:val="000000"/>
          <w:sz w:val="28"/>
        </w:rPr>
        <w:t xml:space="preserve">
      with the state registration license plate number _________________________, </w:t>
      </w:r>
    </w:p>
    <w:p>
      <w:pPr>
        <w:spacing w:after="0"/>
        <w:ind w:left="0"/>
        <w:jc w:val="both"/>
      </w:pPr>
      <w:r>
        <w:rPr>
          <w:rFonts w:ascii="Times New Roman"/>
          <w:b w:val="false"/>
          <w:i w:val="false"/>
          <w:color w:val="000000"/>
          <w:sz w:val="28"/>
        </w:rPr>
        <w:t>
      trailer No. _____________________, carrying goods according to the consignment note (CMR, bill of lading) No._______ dated ______________, from</w:t>
      </w:r>
    </w:p>
    <w:p>
      <w:pPr>
        <w:spacing w:after="0"/>
        <w:ind w:left="0"/>
        <w:jc w:val="both"/>
      </w:pPr>
      <w:r>
        <w:rPr>
          <w:rFonts w:ascii="Times New Roman"/>
          <w:b w:val="false"/>
          <w:i w:val="false"/>
          <w:color w:val="000000"/>
          <w:sz w:val="28"/>
        </w:rPr>
        <w:t>
      ________________________________________to ________________________________</w:t>
      </w:r>
    </w:p>
    <w:p>
      <w:pPr>
        <w:spacing w:after="0"/>
        <w:ind w:left="0"/>
        <w:jc w:val="both"/>
      </w:pPr>
      <w:r>
        <w:rPr>
          <w:rFonts w:ascii="Times New Roman"/>
          <w:b w:val="false"/>
          <w:i w:val="false"/>
          <w:color w:val="000000"/>
          <w:sz w:val="28"/>
        </w:rPr>
        <w:t xml:space="preserve">
      indicate the country of departure indicate the country of destination to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indicate city, village, highway, and other circumstances </w:t>
      </w:r>
    </w:p>
    <w:p>
      <w:pPr>
        <w:spacing w:after="0"/>
        <w:ind w:left="0"/>
        <w:jc w:val="both"/>
      </w:pPr>
      <w:r>
        <w:rPr>
          <w:rFonts w:ascii="Times New Roman"/>
          <w:b w:val="false"/>
          <w:i w:val="false"/>
          <w:color w:val="000000"/>
          <w:sz w:val="28"/>
        </w:rPr>
        <w:t>
      By results of the inspection, the following have been established:</w:t>
      </w:r>
    </w:p>
    <w:p>
      <w:pPr>
        <w:spacing w:after="0"/>
        <w:ind w:left="0"/>
        <w:jc w:val="both"/>
      </w:pPr>
      <w:r>
        <w:rPr>
          <w:rFonts w:ascii="Times New Roman"/>
          <w:b w:val="false"/>
          <w:i w:val="false"/>
          <w:color w:val="000000"/>
          <w:sz w:val="28"/>
        </w:rPr>
        <w:t>
      - road traffic accident involving a motor vehicle;</w:t>
      </w:r>
    </w:p>
    <w:p>
      <w:pPr>
        <w:spacing w:after="0"/>
        <w:ind w:left="0"/>
        <w:jc w:val="both"/>
      </w:pPr>
      <w:r>
        <w:rPr>
          <w:rFonts w:ascii="Times New Roman"/>
          <w:b w:val="false"/>
          <w:i w:val="false"/>
          <w:color w:val="000000"/>
          <w:sz w:val="28"/>
        </w:rPr>
        <w:t>
      - other circumstances that prevent further transportation of goods</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indicate reason </w:t>
      </w:r>
    </w:p>
    <w:p>
      <w:pPr>
        <w:spacing w:after="0"/>
        <w:ind w:left="0"/>
        <w:jc w:val="both"/>
      </w:pPr>
      <w:r>
        <w:rPr>
          <w:rFonts w:ascii="Times New Roman"/>
          <w:b w:val="false"/>
          <w:i w:val="false"/>
          <w:color w:val="000000"/>
          <w:sz w:val="28"/>
        </w:rPr>
        <w:t>
      ___________________________ _____________________ ____________________</w:t>
      </w:r>
    </w:p>
    <w:p>
      <w:pPr>
        <w:spacing w:after="0"/>
        <w:ind w:left="0"/>
        <w:jc w:val="both"/>
      </w:pPr>
      <w:r>
        <w:rPr>
          <w:rFonts w:ascii="Times New Roman"/>
          <w:b w:val="false"/>
          <w:i w:val="false"/>
          <w:color w:val="000000"/>
          <w:sz w:val="28"/>
        </w:rPr>
        <w:t xml:space="preserve">
       surname, name, patronymic                   date                   signature </w:t>
      </w:r>
    </w:p>
    <w:p>
      <w:pPr>
        <w:spacing w:after="0"/>
        <w:ind w:left="0"/>
        <w:jc w:val="both"/>
      </w:pPr>
      <w:r>
        <w:rPr>
          <w:rFonts w:ascii="Times New Roman"/>
          <w:b w:val="false"/>
          <w:i w:val="false"/>
          <w:color w:val="000000"/>
          <w:sz w:val="28"/>
        </w:rPr>
        <w:t>
      ___________________________ _____________________ ____________________</w:t>
      </w:r>
    </w:p>
    <w:p>
      <w:pPr>
        <w:spacing w:after="0"/>
        <w:ind w:left="0"/>
        <w:jc w:val="both"/>
      </w:pPr>
      <w:r>
        <w:rPr>
          <w:rFonts w:ascii="Times New Roman"/>
          <w:b w:val="false"/>
          <w:i w:val="false"/>
          <w:color w:val="000000"/>
          <w:sz w:val="28"/>
        </w:rPr>
        <w:t>
       surname, name, patronymic                   date                   signature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