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45b8" w14:textId="a074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information (emergency notification) on deaths of pregnant women, parturient women, as well as in the event of the death of postpartum women within forty-two calendar days after childbirth, the sudden death of patients during the provision of elective medical care (primary healthcare and specialized assistance, including high-tech medical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7, 2020, No. ҚР ДСМ -100/2020. Registered with the Ministry of Justice of the Republic of Kazakhstan on September 8, 2020, No. 21181.</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17) of Article 8 of the Code of the Republic of Kazakhstan “On Public Health and the Healthcare System”,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97 of the Minister of Healthcare of the Republic of Kazakhstan dated September 18, 2025 (shall come into effect ten calendar days after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the provision of information (emergency notification) on deaths of pregnant women, parturient women, as well as in the event of the death of postpartum women within forty-two calendar days after childbirth, the sudden death of patients during the provision of elective medical care (primary healthcare and specialized assistance, including high-tech medical services).</w:t>
      </w:r>
    </w:p>
    <w:bookmarkEnd w:id="1"/>
    <w:bookmarkStart w:name="z2" w:id="2"/>
    <w:p>
      <w:pPr>
        <w:spacing w:after="0"/>
        <w:ind w:left="0"/>
        <w:jc w:val="both"/>
      </w:pPr>
      <w:r>
        <w:rPr>
          <w:rFonts w:ascii="Times New Roman"/>
          <w:b w:val="false"/>
          <w:i w:val="false"/>
          <w:color w:val="000000"/>
          <w:sz w:val="28"/>
        </w:rPr>
        <w:t>
      2. The Committee for Quality Control and Safety of Goods and Services of the Ministry of Healthcare of the Republic of Kazakhstan, in the manner prescribed by law,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the information on the implementation of the measures provided for in subparagraphs 1) and 2) of this paragraph.</w:t>
      </w:r>
    </w:p>
    <w:bookmarkStart w:name="z3" w:id="3"/>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3"/>
    <w:bookmarkStart w:name="z4" w:id="4"/>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DSM-100/2020 </w:t>
            </w:r>
            <w:r>
              <w:br/>
            </w:r>
            <w:r>
              <w:rPr>
                <w:rFonts w:ascii="Times New Roman"/>
                <w:b w:val="false"/>
                <w:i w:val="false"/>
                <w:color w:val="000000"/>
                <w:sz w:val="20"/>
              </w:rPr>
              <w:t>of September 7, 2020</w:t>
            </w:r>
          </w:p>
        </w:tc>
      </w:tr>
    </w:tbl>
    <w:bookmarkStart w:name="z6" w:id="5"/>
    <w:p>
      <w:pPr>
        <w:spacing w:after="0"/>
        <w:ind w:left="0"/>
        <w:jc w:val="left"/>
      </w:pPr>
      <w:r>
        <w:rPr>
          <w:rFonts w:ascii="Times New Roman"/>
          <w:b/>
          <w:i w:val="false"/>
          <w:color w:val="000000"/>
        </w:rPr>
        <w:t xml:space="preserve"> Rules for the Provision of Information (Emergency Notification) </w:t>
      </w:r>
      <w:r>
        <w:br/>
      </w:r>
      <w:r>
        <w:rPr>
          <w:rFonts w:ascii="Times New Roman"/>
          <w:b/>
          <w:i w:val="false"/>
          <w:color w:val="000000"/>
        </w:rPr>
        <w:t xml:space="preserve">on Cases of Death in Pregnant Women, Maternity Women, and in Maternity Women within Forty-Two Calendar Days of Childbirth, </w:t>
      </w:r>
      <w:r>
        <w:br/>
      </w:r>
      <w:r>
        <w:rPr>
          <w:rFonts w:ascii="Times New Roman"/>
          <w:b/>
          <w:i w:val="false"/>
          <w:color w:val="000000"/>
        </w:rPr>
        <w:t>Sudden Death in Planned Medical Care (Primary Health Care and Specialised Care, Including High-Tech Medical Services)</w:t>
      </w:r>
    </w:p>
    <w:bookmarkEnd w:id="5"/>
    <w:p>
      <w:pPr>
        <w:spacing w:after="0"/>
        <w:ind w:left="0"/>
        <w:jc w:val="both"/>
      </w:pPr>
      <w:r>
        <w:rPr>
          <w:rFonts w:ascii="Times New Roman"/>
          <w:b w:val="false"/>
          <w:i w:val="false"/>
          <w:color w:val="ff0000"/>
          <w:sz w:val="28"/>
        </w:rPr>
        <w:t>
      Footnote. The Rules - as reworded by Order № KR DSM-104 of the Minister of Health of 15.10.2021 (shall be put into effect ten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 </w:t>
      </w:r>
    </w:p>
    <w:bookmarkEnd w:id="6"/>
    <w:bookmarkStart w:name="z8" w:id="7"/>
    <w:p>
      <w:pPr>
        <w:spacing w:after="0"/>
        <w:ind w:left="0"/>
        <w:jc w:val="both"/>
      </w:pPr>
      <w:r>
        <w:rPr>
          <w:rFonts w:ascii="Times New Roman"/>
          <w:b w:val="false"/>
          <w:i w:val="false"/>
          <w:color w:val="000000"/>
          <w:sz w:val="28"/>
        </w:rPr>
        <w:t>
      1. These Rules for the Provision of Information (Emergency Notification) on Cases of Death in Pregnant Women, Maternity Women, and in Maternity Women within Forty-Two Calendar Days of Childbirth, Sudden Death in Planned Medical Care (Primary Health Care and Specialised Care, Including High-Tech Medical Services) (hereinafter – the Rules) have been developed under sub-paragraph 17) of Article 8 of the Code of the Republic of Kazakhstan “On Public Health and the Health Care System” (hereinafter the Code) and establish the procedure for providing information (emergency notification) on cases of death in pregnancy, maternity or childbirth after termination of pregnancy, as well as sudden death of patients during routine medical care (primary health care and specialised, including high-tech, medical care).</w:t>
      </w:r>
    </w:p>
    <w:bookmarkEnd w:id="7"/>
    <w:bookmarkStart w:name="z9" w:id="8"/>
    <w:p>
      <w:pPr>
        <w:spacing w:after="0"/>
        <w:ind w:left="0"/>
        <w:jc w:val="both"/>
      </w:pPr>
      <w:r>
        <w:rPr>
          <w:rFonts w:ascii="Times New Roman"/>
          <w:b w:val="false"/>
          <w:i w:val="false"/>
          <w:color w:val="000000"/>
          <w:sz w:val="28"/>
        </w:rPr>
        <w:t>
      2. Basic concepts used herein:</w:t>
      </w:r>
    </w:p>
    <w:bookmarkEnd w:id="8"/>
    <w:p>
      <w:pPr>
        <w:spacing w:after="0"/>
        <w:ind w:left="0"/>
        <w:jc w:val="both"/>
      </w:pPr>
      <w:r>
        <w:rPr>
          <w:rFonts w:ascii="Times New Roman"/>
          <w:b w:val="false"/>
          <w:i w:val="false"/>
          <w:color w:val="000000"/>
          <w:sz w:val="28"/>
        </w:rPr>
        <w:t>
      1) The International Statistical Classification of Diseases and Related Health Problems, tenth revision (hereinafter referred to as ICD-10), a single document for establishing a morbidity and mortality recording system;</w:t>
      </w:r>
    </w:p>
    <w:p>
      <w:pPr>
        <w:spacing w:after="0"/>
        <w:ind w:left="0"/>
        <w:jc w:val="both"/>
      </w:pPr>
      <w:r>
        <w:rPr>
          <w:rFonts w:ascii="Times New Roman"/>
          <w:b w:val="false"/>
          <w:i w:val="false"/>
          <w:color w:val="000000"/>
          <w:sz w:val="28"/>
        </w:rPr>
        <w:t>
      2) a competent authority in the field of health care (hereinafter referred to as the competent authority) - the central executive body responsible for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(assistance));</w:t>
      </w:r>
    </w:p>
    <w:p>
      <w:pPr>
        <w:spacing w:after="0"/>
        <w:ind w:left="0"/>
        <w:jc w:val="both"/>
      </w:pPr>
      <w:r>
        <w:rPr>
          <w:rFonts w:ascii="Times New Roman"/>
          <w:b w:val="false"/>
          <w:i w:val="false"/>
          <w:color w:val="000000"/>
          <w:sz w:val="28"/>
        </w:rPr>
        <w:t>
      3) government agency in the area of providing medical services (assistance) – a government agency that exercises leadership in the area of providing medical services (assistance), and controls and supervises the quality of medical services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97 of the Minister of Healthcare of the Republic of Kazakhstan dated September 18, 2025 (shall come into effect ten calendar days after the date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2: Procedures for reporting deaths in pregnancy, childbirth and maternity</w:t>
      </w:r>
      <w:r>
        <w:br/>
      </w:r>
      <w:r>
        <w:rPr>
          <w:rFonts w:ascii="Times New Roman"/>
          <w:b/>
          <w:i w:val="false"/>
          <w:color w:val="000000"/>
        </w:rPr>
        <w:t>and in cases of maternity deaths within forty-two calendar days of childbirth</w:t>
      </w:r>
    </w:p>
    <w:bookmarkEnd w:id="9"/>
    <w:bookmarkStart w:name="z11" w:id="10"/>
    <w:p>
      <w:pPr>
        <w:spacing w:after="0"/>
        <w:ind w:left="0"/>
        <w:jc w:val="both"/>
      </w:pPr>
      <w:r>
        <w:rPr>
          <w:rFonts w:ascii="Times New Roman"/>
          <w:b w:val="false"/>
          <w:i w:val="false"/>
          <w:color w:val="000000"/>
          <w:sz w:val="28"/>
        </w:rPr>
        <w:t>
      3. From the moment of registration of cases of death in pregnancy, maternity or childbirth, as well as in the case of maternal death within forty-two calendar days after delivery (maternal mortality), the heads of local public health authorities in the oblasts, cities of national importance and the capital and health-care facilities shall ensure the submission of:</w:t>
      </w:r>
    </w:p>
    <w:bookmarkEnd w:id="10"/>
    <w:p>
      <w:pPr>
        <w:spacing w:after="0"/>
        <w:ind w:left="0"/>
        <w:jc w:val="both"/>
      </w:pPr>
      <w:r>
        <w:rPr>
          <w:rFonts w:ascii="Times New Roman"/>
          <w:b w:val="false"/>
          <w:i w:val="false"/>
          <w:color w:val="000000"/>
          <w:sz w:val="28"/>
        </w:rPr>
        <w:t>
      1) notification within two hours by telephone to the management of the approved authority;</w:t>
      </w:r>
    </w:p>
    <w:p>
      <w:pPr>
        <w:spacing w:after="0"/>
        <w:ind w:left="0"/>
        <w:jc w:val="both"/>
      </w:pPr>
      <w:r>
        <w:rPr>
          <w:rFonts w:ascii="Times New Roman"/>
          <w:b w:val="false"/>
          <w:i w:val="false"/>
          <w:color w:val="000000"/>
          <w:sz w:val="28"/>
        </w:rPr>
        <w:t xml:space="preserve">
      2) within 24 hours to the public authority and its territorial subdivisions (hereinafter territorial subdivisions) information and copies of the following medical documents, in electronic form (in PDF format) with the available results of additional methods of investigation (laboratory, instrumental ones) as per the forms approved by Order of the Acting Minister of Health № KR DSM-175/2020 of October 30, 2020 “On Approval of Health Record Forms” (recorded in the Register of State Registration of Regulatory Legal Acts under № 21579) (hereinafter Order № </w:t>
      </w:r>
      <w:r>
        <w:rPr>
          <w:rFonts w:ascii="Times New Roman"/>
          <w:b w:val="false"/>
          <w:i w:val="false"/>
          <w:color w:val="000000"/>
          <w:sz w:val="28"/>
        </w:rPr>
        <w:t>K</w:t>
      </w:r>
      <w:r>
        <w:rPr>
          <w:rFonts w:ascii="Times New Roman"/>
          <w:b w:val="false"/>
          <w:i w:val="false"/>
          <w:color w:val="000000"/>
          <w:sz w:val="28"/>
        </w:rPr>
        <w:t>R DSM-175/2020), daily:</w:t>
      </w:r>
    </w:p>
    <w:p>
      <w:pPr>
        <w:spacing w:after="0"/>
        <w:ind w:left="0"/>
        <w:jc w:val="both"/>
      </w:pPr>
      <w:r>
        <w:rPr>
          <w:rFonts w:ascii="Times New Roman"/>
          <w:b w:val="false"/>
          <w:i w:val="false"/>
          <w:color w:val="000000"/>
          <w:sz w:val="28"/>
        </w:rPr>
        <w:t>
      “Notifications” in the form annexed hereto;</w:t>
      </w:r>
    </w:p>
    <w:p>
      <w:pPr>
        <w:spacing w:after="0"/>
        <w:ind w:left="0"/>
        <w:jc w:val="both"/>
      </w:pPr>
      <w:r>
        <w:rPr>
          <w:rFonts w:ascii="Times New Roman"/>
          <w:b w:val="false"/>
          <w:i w:val="false"/>
          <w:color w:val="000000"/>
          <w:sz w:val="28"/>
        </w:rPr>
        <w:t>
      Form № 077/y “Medical History of Pregnancy and Maternity”;</w:t>
      </w:r>
    </w:p>
    <w:p>
      <w:pPr>
        <w:spacing w:after="0"/>
        <w:ind w:left="0"/>
        <w:jc w:val="both"/>
      </w:pPr>
      <w:r>
        <w:rPr>
          <w:rFonts w:ascii="Times New Roman"/>
          <w:b w:val="false"/>
          <w:i w:val="false"/>
          <w:color w:val="000000"/>
          <w:sz w:val="28"/>
        </w:rPr>
        <w:t>
      Form No 048/y “Exchange Card of Pregnancy and Maternity”;</w:t>
      </w:r>
    </w:p>
    <w:p>
      <w:pPr>
        <w:spacing w:after="0"/>
        <w:ind w:left="0"/>
        <w:jc w:val="both"/>
      </w:pPr>
      <w:r>
        <w:rPr>
          <w:rFonts w:ascii="Times New Roman"/>
          <w:b w:val="false"/>
          <w:i w:val="false"/>
          <w:color w:val="000000"/>
          <w:sz w:val="28"/>
        </w:rPr>
        <w:t>
      Form № 020/y “Birth Registration Form”;</w:t>
      </w:r>
    </w:p>
    <w:p>
      <w:pPr>
        <w:spacing w:after="0"/>
        <w:ind w:left="0"/>
        <w:jc w:val="both"/>
      </w:pPr>
      <w:r>
        <w:rPr>
          <w:rFonts w:ascii="Times New Roman"/>
          <w:b w:val="false"/>
          <w:i w:val="false"/>
          <w:color w:val="000000"/>
          <w:sz w:val="28"/>
        </w:rPr>
        <w:t>
      Insert sheet 11 to the inpatient medical record “Developmental History of the Newborn Infant”;</w:t>
      </w:r>
    </w:p>
    <w:p>
      <w:pPr>
        <w:spacing w:after="0"/>
        <w:ind w:left="0"/>
        <w:jc w:val="both"/>
      </w:pPr>
      <w:r>
        <w:rPr>
          <w:rFonts w:ascii="Times New Roman"/>
          <w:b w:val="false"/>
          <w:i w:val="false"/>
          <w:color w:val="000000"/>
          <w:sz w:val="28"/>
        </w:rPr>
        <w:t>
      Form № 001/y “Medical Record of an Inpatient Patient”, including a history of termination of pregnancy and a history of childbirth;</w:t>
      </w:r>
    </w:p>
    <w:p>
      <w:pPr>
        <w:spacing w:after="0"/>
        <w:ind w:left="0"/>
        <w:jc w:val="both"/>
      </w:pPr>
      <w:r>
        <w:rPr>
          <w:rFonts w:ascii="Times New Roman"/>
          <w:b w:val="false"/>
          <w:i w:val="false"/>
          <w:color w:val="000000"/>
          <w:sz w:val="28"/>
        </w:rPr>
        <w:t>
      Form № 052/y “Outpatient Medical Record”, including for completing a history of termination of pregnancy;</w:t>
      </w:r>
    </w:p>
    <w:p>
      <w:pPr>
        <w:spacing w:after="0"/>
        <w:ind w:left="0"/>
        <w:jc w:val="both"/>
      </w:pPr>
      <w:r>
        <w:rPr>
          <w:rFonts w:ascii="Times New Roman"/>
          <w:b w:val="false"/>
          <w:i w:val="false"/>
          <w:color w:val="000000"/>
          <w:sz w:val="28"/>
        </w:rPr>
        <w:t>
      Form № 051/y “Maternal Mortality Registration Card”.</w:t>
      </w:r>
    </w:p>
    <w:p>
      <w:pPr>
        <w:spacing w:after="0"/>
        <w:ind w:left="0"/>
        <w:jc w:val="both"/>
      </w:pPr>
      <w:r>
        <w:rPr>
          <w:rFonts w:ascii="Times New Roman"/>
          <w:b w:val="false"/>
          <w:i w:val="false"/>
          <w:color w:val="000000"/>
          <w:sz w:val="28"/>
        </w:rPr>
        <w:t>
      3) Form № 002/y “Protocol (Card) of Pathological-Anatomical Examination, Blocks and Cover-Glass Preparations” approved by Order № KR DSM-175/2020, Blocks and Cover-Glass Preparations to territorial offices within seven working days from the registration of a case of maternal mortality.</w:t>
      </w:r>
    </w:p>
    <w:bookmarkStart w:name="z12" w:id="11"/>
    <w:p>
      <w:pPr>
        <w:spacing w:after="0"/>
        <w:ind w:left="0"/>
        <w:jc w:val="both"/>
      </w:pPr>
      <w:r>
        <w:rPr>
          <w:rFonts w:ascii="Times New Roman"/>
          <w:b w:val="false"/>
          <w:i w:val="false"/>
          <w:color w:val="000000"/>
          <w:sz w:val="28"/>
        </w:rPr>
        <w:t>
      4. Maternal mortality cases shall be registered and counted at the place of attachment to the healthcare facility, irrespective of the place of death of pregnant women, parturient women and women in labour within forty-two calendar days after childbirth.</w:t>
      </w:r>
    </w:p>
    <w:bookmarkEnd w:id="11"/>
    <w:p>
      <w:pPr>
        <w:spacing w:after="0"/>
        <w:ind w:left="0"/>
        <w:jc w:val="both"/>
      </w:pPr>
      <w:r>
        <w:rPr>
          <w:rFonts w:ascii="Times New Roman"/>
          <w:b w:val="false"/>
          <w:i w:val="false"/>
          <w:color w:val="000000"/>
          <w:sz w:val="28"/>
        </w:rPr>
        <w:t>
      The healthcare facility of the place of death shall report the maternal mortality case to the healthcare facility of the place of registration.</w:t>
      </w:r>
    </w:p>
    <w:p>
      <w:pPr>
        <w:spacing w:after="0"/>
        <w:ind w:left="0"/>
        <w:jc w:val="both"/>
      </w:pPr>
      <w:r>
        <w:rPr>
          <w:rFonts w:ascii="Times New Roman"/>
          <w:b w:val="false"/>
          <w:i w:val="false"/>
          <w:color w:val="000000"/>
          <w:sz w:val="28"/>
        </w:rPr>
        <w:t>
      If there is no registration with a health care facility, the maternal mortality shall be registered by the health care facility at the place of residence (location).</w:t>
      </w:r>
    </w:p>
    <w:bookmarkStart w:name="z13" w:id="12"/>
    <w:p>
      <w:pPr>
        <w:spacing w:after="0"/>
        <w:ind w:left="0"/>
        <w:jc w:val="both"/>
      </w:pPr>
      <w:r>
        <w:rPr>
          <w:rFonts w:ascii="Times New Roman"/>
          <w:b w:val="false"/>
          <w:i w:val="false"/>
          <w:color w:val="000000"/>
          <w:sz w:val="28"/>
        </w:rPr>
        <w:t>
      5. Information as per the form “Maternal Mortality Registration Card” shall be filled in by a healthcare practitioner (attending or on-duty physician) of the healthcare facility, regardless of ownership and departmental affiliation, as well as by natural persons engaged in private medical practice.</w:t>
      </w:r>
    </w:p>
    <w:bookmarkEnd w:id="12"/>
    <w:bookmarkStart w:name="z14" w:id="13"/>
    <w:p>
      <w:pPr>
        <w:spacing w:after="0"/>
        <w:ind w:left="0"/>
        <w:jc w:val="both"/>
      </w:pPr>
      <w:r>
        <w:rPr>
          <w:rFonts w:ascii="Times New Roman"/>
          <w:b w:val="false"/>
          <w:i w:val="false"/>
          <w:color w:val="000000"/>
          <w:sz w:val="28"/>
        </w:rPr>
        <w:t>
      6. Healthcare specialists of an ambulance, paramedic and obstetric unit, or health centre who establish maternal mortality outside the health centre (at home, in the street due to road accidents, natural or man-made emergencies) shall inform the health centre of the place where the person is registered.</w:t>
      </w:r>
    </w:p>
    <w:bookmarkEnd w:id="13"/>
    <w:p>
      <w:pPr>
        <w:spacing w:after="0"/>
        <w:ind w:left="0"/>
        <w:jc w:val="both"/>
      </w:pPr>
      <w:r>
        <w:rPr>
          <w:rFonts w:ascii="Times New Roman"/>
          <w:b w:val="false"/>
          <w:i w:val="false"/>
          <w:color w:val="000000"/>
          <w:sz w:val="28"/>
        </w:rPr>
        <w:t>
      In these cases, as per the form “Maternal Mortality Registration Card” shall be completed by the healthcare specialist of the healthcare facility at the place of registration with the healthcare facility.</w:t>
      </w:r>
    </w:p>
    <w:p>
      <w:pPr>
        <w:spacing w:after="0"/>
        <w:ind w:left="0"/>
        <w:jc w:val="both"/>
      </w:pPr>
      <w:r>
        <w:rPr>
          <w:rFonts w:ascii="Times New Roman"/>
          <w:b w:val="false"/>
          <w:i w:val="false"/>
          <w:color w:val="000000"/>
          <w:sz w:val="28"/>
        </w:rPr>
        <w:t>
      If there is no registration with a healthcare facility, the maternal mortality records shall be maintained similar to Paragraph 4 hereof.</w:t>
      </w:r>
    </w:p>
    <w:bookmarkStart w:name="z15" w:id="14"/>
    <w:p>
      <w:pPr>
        <w:spacing w:after="0"/>
        <w:ind w:left="0"/>
        <w:jc w:val="both"/>
      </w:pPr>
      <w:r>
        <w:rPr>
          <w:rFonts w:ascii="Times New Roman"/>
          <w:b w:val="false"/>
          <w:i w:val="false"/>
          <w:color w:val="000000"/>
          <w:sz w:val="28"/>
        </w:rPr>
        <w:t>
      7. The first head of the healthcare facility and the deputy head of the local health authority of the region, city or capital city in charge of obstetric care shall supervise the registration and counting of maternal mortality.</w:t>
      </w:r>
    </w:p>
    <w:bookmarkEnd w:id="14"/>
    <w:bookmarkStart w:name="z16" w:id="15"/>
    <w:p>
      <w:pPr>
        <w:spacing w:after="0"/>
        <w:ind w:left="0"/>
        <w:jc w:val="both"/>
      </w:pPr>
      <w:r>
        <w:rPr>
          <w:rFonts w:ascii="Times New Roman"/>
          <w:b w:val="false"/>
          <w:i w:val="false"/>
          <w:color w:val="000000"/>
          <w:sz w:val="28"/>
        </w:rPr>
        <w:t>
      8. Republican e-Health Centre Republican State Enterprise on the Right of Economic Management shall provide to the competent authority:</w:t>
      </w:r>
    </w:p>
    <w:bookmarkEnd w:id="15"/>
    <w:p>
      <w:pPr>
        <w:spacing w:after="0"/>
        <w:ind w:left="0"/>
        <w:jc w:val="both"/>
      </w:pPr>
      <w:r>
        <w:rPr>
          <w:rFonts w:ascii="Times New Roman"/>
          <w:b w:val="false"/>
          <w:i w:val="false"/>
          <w:color w:val="000000"/>
          <w:sz w:val="28"/>
        </w:rPr>
        <w:t>
      1) summary information as per the form “Maternal Mortality Registration Card” daily by 4.00 p.m. of the current day;</w:t>
      </w:r>
    </w:p>
    <w:p>
      <w:pPr>
        <w:spacing w:after="0"/>
        <w:ind w:left="0"/>
        <w:jc w:val="both"/>
      </w:pPr>
      <w:r>
        <w:rPr>
          <w:rFonts w:ascii="Times New Roman"/>
          <w:b w:val="false"/>
          <w:i w:val="false"/>
          <w:color w:val="000000"/>
          <w:sz w:val="28"/>
        </w:rPr>
        <w:t>
      2) monthly summary reports on the provision of maternity facilities with personnel and medical equipment by region, by the eighth day of each month following the reporting month;</w:t>
      </w:r>
    </w:p>
    <w:p>
      <w:pPr>
        <w:spacing w:after="0"/>
        <w:ind w:left="0"/>
        <w:jc w:val="both"/>
      </w:pPr>
      <w:r>
        <w:rPr>
          <w:rFonts w:ascii="Times New Roman"/>
          <w:b w:val="false"/>
          <w:i w:val="false"/>
          <w:color w:val="000000"/>
          <w:sz w:val="28"/>
        </w:rPr>
        <w:t>
      3) monthly summary information on cases of maternal mortality by the eighth day of each month following the reporting month, indicating the final diagnosis and ICD-10 code.</w:t>
      </w:r>
    </w:p>
    <w:bookmarkStart w:name="z17" w:id="16"/>
    <w:p>
      <w:pPr>
        <w:spacing w:after="0"/>
        <w:ind w:left="0"/>
        <w:jc w:val="left"/>
      </w:pPr>
      <w:r>
        <w:rPr>
          <w:rFonts w:ascii="Times New Roman"/>
          <w:b/>
          <w:i w:val="false"/>
          <w:color w:val="000000"/>
        </w:rPr>
        <w:t xml:space="preserve"> Chapter 3. The procedure for providing information on cases of sudden patient death in the provision </w:t>
      </w:r>
      <w:r>
        <w:br/>
      </w:r>
      <w:r>
        <w:rPr>
          <w:rFonts w:ascii="Times New Roman"/>
          <w:b/>
          <w:i w:val="false"/>
          <w:color w:val="000000"/>
        </w:rPr>
        <w:t>of planned medical care (primary and specialised medical care, including high-tech medical services)</w:t>
      </w:r>
    </w:p>
    <w:bookmarkEnd w:id="16"/>
    <w:bookmarkStart w:name="z18" w:id="17"/>
    <w:p>
      <w:pPr>
        <w:spacing w:after="0"/>
        <w:ind w:left="0"/>
        <w:jc w:val="both"/>
      </w:pPr>
      <w:r>
        <w:rPr>
          <w:rFonts w:ascii="Times New Roman"/>
          <w:b w:val="false"/>
          <w:i w:val="false"/>
          <w:color w:val="000000"/>
          <w:sz w:val="28"/>
        </w:rPr>
        <w:t>
      9. Starting from the registration of cases of sudden death (R96 according to ICD-10 code) of patients during the provision of planned medical care (primary health care and specialised care, including high-tech medical services), as well as cases of death of patients with diagnoses: anaphylactic shock (T78. 0 under ICD-10 code), iatrogenic complications (T80-85 under ICD-10 code), cardiac arrest (I46.1, I46.9 under ICD-10 code), the heads of the local public health authorities of the oblasts, cities of national importance and the capital, and of the healthcare facilities shall ensure that the relevant territorial divisions are provided with:</w:t>
      </w:r>
    </w:p>
    <w:bookmarkEnd w:id="17"/>
    <w:p>
      <w:pPr>
        <w:spacing w:after="0"/>
        <w:ind w:left="0"/>
        <w:jc w:val="both"/>
      </w:pPr>
      <w:r>
        <w:rPr>
          <w:rFonts w:ascii="Times New Roman"/>
          <w:b w:val="false"/>
          <w:i w:val="false"/>
          <w:color w:val="000000"/>
          <w:sz w:val="28"/>
        </w:rPr>
        <w:t>
      1) a notification in the form annexed hereto within 24 hours;</w:t>
      </w:r>
    </w:p>
    <w:p>
      <w:pPr>
        <w:spacing w:after="0"/>
        <w:ind w:left="0"/>
        <w:jc w:val="both"/>
      </w:pPr>
      <w:r>
        <w:rPr>
          <w:rFonts w:ascii="Times New Roman"/>
          <w:b w:val="false"/>
          <w:i w:val="false"/>
          <w:color w:val="000000"/>
          <w:sz w:val="28"/>
        </w:rPr>
        <w:t>
      2) copies of medical documents per forms approved by Order № KP DSM-175/2020 in electronic format (PDF) with the results of additional examinations (laboratory, instrumental) within two working days:</w:t>
      </w:r>
    </w:p>
    <w:p>
      <w:pPr>
        <w:spacing w:after="0"/>
        <w:ind w:left="0"/>
        <w:jc w:val="both"/>
      </w:pPr>
      <w:r>
        <w:rPr>
          <w:rFonts w:ascii="Times New Roman"/>
          <w:b w:val="false"/>
          <w:i w:val="false"/>
          <w:color w:val="000000"/>
          <w:sz w:val="28"/>
        </w:rPr>
        <w:t xml:space="preserve">
      Form № 001/y “Medical Record of an Inpatient Patient”, </w:t>
      </w:r>
    </w:p>
    <w:p>
      <w:pPr>
        <w:spacing w:after="0"/>
        <w:ind w:left="0"/>
        <w:jc w:val="both"/>
      </w:pPr>
      <w:r>
        <w:rPr>
          <w:rFonts w:ascii="Times New Roman"/>
          <w:b w:val="false"/>
          <w:i w:val="false"/>
          <w:color w:val="000000"/>
          <w:sz w:val="28"/>
        </w:rPr>
        <w:t xml:space="preserve">
      Form № 052/y “Outpatient Medical Record”, </w:t>
      </w:r>
    </w:p>
    <w:p>
      <w:pPr>
        <w:spacing w:after="0"/>
        <w:ind w:left="0"/>
        <w:jc w:val="both"/>
      </w:pPr>
      <w:r>
        <w:rPr>
          <w:rFonts w:ascii="Times New Roman"/>
          <w:b w:val="false"/>
          <w:i w:val="false"/>
          <w:color w:val="000000"/>
          <w:sz w:val="28"/>
        </w:rPr>
        <w:t>
      3) Form № 002/y “Protocol (Card) of Pathological-Anatomical Examination, Blocks and Cover-Glass Preparations”, approved by Order № KR DSM-175/2020, within fourteen working days.</w:t>
      </w:r>
    </w:p>
    <w:bookmarkStart w:name="z19" w:id="18"/>
    <w:p>
      <w:pPr>
        <w:spacing w:after="0"/>
        <w:ind w:left="0"/>
        <w:jc w:val="both"/>
      </w:pPr>
      <w:r>
        <w:rPr>
          <w:rFonts w:ascii="Times New Roman"/>
          <w:b w:val="false"/>
          <w:i w:val="false"/>
          <w:color w:val="000000"/>
          <w:sz w:val="28"/>
        </w:rPr>
        <w:t>
      10. Control over registration and accounting of sudden death cases (R96) of patients during provided planned medical care (primary and specialised medical care, including high-tech medical services), as well as deaths of patients with diagnoses: anaphylactic shock (T78.0), iatrogenic complications (T80-85), cardiac arrest (I46.1, I46.9), shall be performed by the first executive of the healthcare facility, as well as the deputy head of the local public health authority of the region, city of national importance and the capital responsible for preventive health care.</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w:t>
            </w:r>
            <w:r>
              <w:br/>
            </w:r>
            <w:r>
              <w:rPr>
                <w:rFonts w:ascii="Times New Roman"/>
                <w:b w:val="false"/>
                <w:i w:val="false"/>
                <w:color w:val="000000"/>
                <w:sz w:val="20"/>
              </w:rPr>
              <w:t>for the Provision of Information</w:t>
            </w:r>
            <w:r>
              <w:br/>
            </w:r>
            <w:r>
              <w:rPr>
                <w:rFonts w:ascii="Times New Roman"/>
                <w:b w:val="false"/>
                <w:i w:val="false"/>
                <w:color w:val="000000"/>
                <w:sz w:val="20"/>
              </w:rPr>
              <w:t xml:space="preserve">(Emergency Notification) on Cases of Death </w:t>
            </w:r>
            <w:r>
              <w:br/>
            </w:r>
            <w:r>
              <w:rPr>
                <w:rFonts w:ascii="Times New Roman"/>
                <w:b w:val="false"/>
                <w:i w:val="false"/>
                <w:color w:val="000000"/>
                <w:sz w:val="20"/>
              </w:rPr>
              <w:t xml:space="preserve">in Pregnant Women, Maternity Women, </w:t>
            </w:r>
            <w:r>
              <w:br/>
            </w:r>
            <w:r>
              <w:rPr>
                <w:rFonts w:ascii="Times New Roman"/>
                <w:b w:val="false"/>
                <w:i w:val="false"/>
                <w:color w:val="000000"/>
                <w:sz w:val="20"/>
              </w:rPr>
              <w:t xml:space="preserve">and in Maternity Women within Forty-Two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Calendar Days of Childbirth, Sudden Death </w:t>
            </w:r>
            <w:r>
              <w:br/>
            </w:r>
            <w:r>
              <w:rPr>
                <w:rFonts w:ascii="Times New Roman"/>
                <w:b w:val="false"/>
                <w:i w:val="false"/>
                <w:color w:val="000000"/>
                <w:sz w:val="20"/>
              </w:rPr>
              <w:t xml:space="preserve">in Planned Medical Care (Primary Health Care </w:t>
            </w:r>
            <w:r>
              <w:br/>
            </w:r>
            <w:r>
              <w:rPr>
                <w:rFonts w:ascii="Times New Roman"/>
                <w:b w:val="false"/>
                <w:i w:val="false"/>
                <w:color w:val="000000"/>
                <w:sz w:val="20"/>
              </w:rPr>
              <w:t xml:space="preserve">and Specialised Care, Including High-Tech </w:t>
            </w:r>
            <w:r>
              <w:br/>
            </w:r>
            <w:r>
              <w:rPr>
                <w:rFonts w:ascii="Times New Roman"/>
                <w:b w:val="false"/>
                <w:i w:val="false"/>
                <w:color w:val="000000"/>
                <w:sz w:val="20"/>
              </w:rPr>
              <w:t>Medical Services)</w:t>
            </w:r>
          </w:p>
        </w:tc>
      </w:tr>
    </w:tbl>
    <w:p>
      <w:pPr>
        <w:spacing w:after="0"/>
        <w:ind w:left="0"/>
        <w:jc w:val="both"/>
      </w:pPr>
      <w:r>
        <w:rPr>
          <w:rFonts w:ascii="Times New Roman"/>
          <w:b w:val="false"/>
          <w:i w:val="false"/>
          <w:color w:val="000000"/>
          <w:sz w:val="28"/>
        </w:rPr>
        <w:t>
      Emergency notification on cases of death in pregnant women, maternity women, and in maternity women within forty-two calendar days of childbirth, sudden death in planned medical care (primary health care and specialised care, including high-tech medical services)</w:t>
      </w:r>
    </w:p>
    <w:p>
      <w:pPr>
        <w:spacing w:after="0"/>
        <w:ind w:left="0"/>
        <w:jc w:val="both"/>
      </w:pPr>
      <w:r>
        <w:rPr>
          <w:rFonts w:ascii="Times New Roman"/>
          <w:b w:val="false"/>
          <w:i w:val="false"/>
          <w:color w:val="000000"/>
          <w:sz w:val="28"/>
        </w:rPr>
        <w:t>
      (shall be provided within 24 hours of the case being registered)</w:t>
      </w:r>
    </w:p>
    <w:p>
      <w:pPr>
        <w:spacing w:after="0"/>
        <w:ind w:left="0"/>
        <w:jc w:val="both"/>
      </w:pPr>
      <w:r>
        <w:rPr>
          <w:rFonts w:ascii="Times New Roman"/>
          <w:b w:val="false"/>
          <w:i w:val="false"/>
          <w:color w:val="000000"/>
          <w:sz w:val="28"/>
        </w:rPr>
        <w:t>
      1. IIN</w:t>
      </w:r>
    </w:p>
    <w:p>
      <w:pPr>
        <w:spacing w:after="0"/>
        <w:ind w:left="0"/>
        <w:jc w:val="both"/>
      </w:pPr>
      <w:r>
        <w:rPr>
          <w:rFonts w:ascii="Times New Roman"/>
          <w:b w:val="false"/>
          <w:i w:val="false"/>
          <w:color w:val="000000"/>
          <w:sz w:val="28"/>
        </w:rPr>
        <w:t>
      2. Surname, first name, patronymic (if any)</w:t>
      </w:r>
    </w:p>
    <w:p>
      <w:pPr>
        <w:spacing w:after="0"/>
        <w:ind w:left="0"/>
        <w:jc w:val="both"/>
      </w:pPr>
      <w:r>
        <w:rPr>
          <w:rFonts w:ascii="Times New Roman"/>
          <w:b w:val="false"/>
          <w:i w:val="false"/>
          <w:color w:val="000000"/>
          <w:sz w:val="28"/>
        </w:rPr>
        <w:t>
      3. Date of birth</w:t>
      </w:r>
    </w:p>
    <w:p>
      <w:pPr>
        <w:spacing w:after="0"/>
        <w:ind w:left="0"/>
        <w:jc w:val="both"/>
      </w:pPr>
      <w:r>
        <w:rPr>
          <w:rFonts w:ascii="Times New Roman"/>
          <w:b w:val="false"/>
          <w:i w:val="false"/>
          <w:color w:val="000000"/>
          <w:sz w:val="28"/>
        </w:rPr>
        <w:t>
      4. Gender male; female</w:t>
      </w:r>
    </w:p>
    <w:p>
      <w:pPr>
        <w:spacing w:after="0"/>
        <w:ind w:left="0"/>
        <w:jc w:val="both"/>
      </w:pPr>
      <w:r>
        <w:rPr>
          <w:rFonts w:ascii="Times New Roman"/>
          <w:b w:val="false"/>
          <w:i w:val="false"/>
          <w:color w:val="000000"/>
          <w:sz w:val="28"/>
        </w:rPr>
        <w:t>
      5. Resident of the city _______, resident of the village___________</w:t>
      </w:r>
    </w:p>
    <w:p>
      <w:pPr>
        <w:spacing w:after="0"/>
        <w:ind w:left="0"/>
        <w:jc w:val="both"/>
      </w:pPr>
      <w:r>
        <w:rPr>
          <w:rFonts w:ascii="Times New Roman"/>
          <w:b w:val="false"/>
          <w:i w:val="false"/>
          <w:color w:val="000000"/>
          <w:sz w:val="28"/>
        </w:rPr>
        <w:t>
      6. Address of residence</w:t>
      </w:r>
    </w:p>
    <w:p>
      <w:pPr>
        <w:spacing w:after="0"/>
        <w:ind w:left="0"/>
        <w:jc w:val="both"/>
      </w:pPr>
      <w:r>
        <w:rPr>
          <w:rFonts w:ascii="Times New Roman"/>
          <w:b w:val="false"/>
          <w:i w:val="false"/>
          <w:color w:val="000000"/>
          <w:sz w:val="28"/>
        </w:rPr>
        <w:t>
      7. Contact telephone number</w:t>
      </w:r>
    </w:p>
    <w:p>
      <w:pPr>
        <w:spacing w:after="0"/>
        <w:ind w:left="0"/>
        <w:jc w:val="both"/>
      </w:pPr>
      <w:r>
        <w:rPr>
          <w:rFonts w:ascii="Times New Roman"/>
          <w:b w:val="false"/>
          <w:i w:val="false"/>
          <w:color w:val="000000"/>
          <w:sz w:val="28"/>
        </w:rPr>
        <w:t>
      8. Marital status</w:t>
      </w:r>
    </w:p>
    <w:p>
      <w:pPr>
        <w:spacing w:after="0"/>
        <w:ind w:left="0"/>
        <w:jc w:val="both"/>
      </w:pPr>
      <w:r>
        <w:rPr>
          <w:rFonts w:ascii="Times New Roman"/>
          <w:b w:val="false"/>
          <w:i w:val="false"/>
          <w:color w:val="000000"/>
          <w:sz w:val="28"/>
        </w:rPr>
        <w:t>
      9. Healthcare facility of registration ________</w:t>
      </w:r>
    </w:p>
    <w:p>
      <w:pPr>
        <w:spacing w:after="0"/>
        <w:ind w:left="0"/>
        <w:jc w:val="both"/>
      </w:pPr>
      <w:r>
        <w:rPr>
          <w:rFonts w:ascii="Times New Roman"/>
          <w:b w:val="false"/>
          <w:i w:val="false"/>
          <w:color w:val="000000"/>
          <w:sz w:val="28"/>
        </w:rPr>
        <w:t>
      10. Place of employment/study/childcare cnetre _____________position ________ housewife ____________</w:t>
      </w:r>
    </w:p>
    <w:p>
      <w:pPr>
        <w:spacing w:after="0"/>
        <w:ind w:left="0"/>
        <w:jc w:val="both"/>
      </w:pPr>
      <w:r>
        <w:rPr>
          <w:rFonts w:ascii="Times New Roman"/>
          <w:b w:val="false"/>
          <w:i w:val="false"/>
          <w:color w:val="000000"/>
          <w:sz w:val="28"/>
        </w:rPr>
        <w:t>
      11. Address and name of healthcare facility, department</w:t>
      </w:r>
    </w:p>
    <w:p>
      <w:pPr>
        <w:spacing w:after="0"/>
        <w:ind w:left="0"/>
        <w:jc w:val="both"/>
      </w:pPr>
      <w:r>
        <w:rPr>
          <w:rFonts w:ascii="Times New Roman"/>
          <w:b w:val="false"/>
          <w:i w:val="false"/>
          <w:color w:val="000000"/>
          <w:sz w:val="28"/>
        </w:rPr>
        <w:t>
      12. Date of hospital admission (planned, emergency one)</w:t>
      </w:r>
    </w:p>
    <w:p>
      <w:pPr>
        <w:spacing w:after="0"/>
        <w:ind w:left="0"/>
        <w:jc w:val="both"/>
      </w:pPr>
      <w:r>
        <w:rPr>
          <w:rFonts w:ascii="Times New Roman"/>
          <w:b w:val="false"/>
          <w:i w:val="false"/>
          <w:color w:val="000000"/>
          <w:sz w:val="28"/>
        </w:rPr>
        <w:t>
      13. Obstetric parity ________, pregnancy ______, childbirth ______</w:t>
      </w:r>
    </w:p>
    <w:p>
      <w:pPr>
        <w:spacing w:after="0"/>
        <w:ind w:left="0"/>
        <w:jc w:val="both"/>
      </w:pPr>
      <w:r>
        <w:rPr>
          <w:rFonts w:ascii="Times New Roman"/>
          <w:b w:val="false"/>
          <w:i w:val="false"/>
          <w:color w:val="000000"/>
          <w:sz w:val="28"/>
        </w:rPr>
        <w:t>
      14. Date of death</w:t>
      </w:r>
    </w:p>
    <w:p>
      <w:pPr>
        <w:spacing w:after="0"/>
        <w:ind w:left="0"/>
        <w:jc w:val="both"/>
      </w:pPr>
      <w:r>
        <w:rPr>
          <w:rFonts w:ascii="Times New Roman"/>
          <w:b w:val="false"/>
          <w:i w:val="false"/>
          <w:color w:val="000000"/>
          <w:sz w:val="28"/>
        </w:rPr>
        <w:t>
      15. Bed-days spent ________, of which in the Anaesthesiology, Intensive Care and Intensive Care Unit ___________</w:t>
      </w:r>
    </w:p>
    <w:p>
      <w:pPr>
        <w:spacing w:after="0"/>
        <w:ind w:left="0"/>
        <w:jc w:val="both"/>
      </w:pPr>
      <w:r>
        <w:rPr>
          <w:rFonts w:ascii="Times New Roman"/>
          <w:b w:val="false"/>
          <w:i w:val="false"/>
          <w:color w:val="000000"/>
          <w:sz w:val="28"/>
        </w:rPr>
        <w:t>
      16. Diagnosis (preliminary, main, concomitant, pathological diagnosis)</w:t>
      </w:r>
    </w:p>
    <w:p>
      <w:pPr>
        <w:spacing w:after="0"/>
        <w:ind w:left="0"/>
        <w:jc w:val="both"/>
      </w:pPr>
      <w:r>
        <w:rPr>
          <w:rFonts w:ascii="Times New Roman"/>
          <w:b w:val="false"/>
          <w:i w:val="false"/>
          <w:color w:val="000000"/>
          <w:sz w:val="28"/>
        </w:rPr>
        <w:t>
      17. Name of the healthcare facility (HF) area that completed the notification (from the HF registry)</w:t>
      </w:r>
    </w:p>
    <w:p>
      <w:pPr>
        <w:spacing w:after="0"/>
        <w:ind w:left="0"/>
        <w:jc w:val="both"/>
      </w:pPr>
      <w:r>
        <w:rPr>
          <w:rFonts w:ascii="Times New Roman"/>
          <w:b w:val="false"/>
          <w:i w:val="false"/>
          <w:color w:val="000000"/>
          <w:sz w:val="28"/>
        </w:rPr>
        <w:t>
      18. Surname, first name, patronymic (if any) and the ID of the physician who completed the notification</w:t>
      </w:r>
    </w:p>
    <w:p>
      <w:pPr>
        <w:spacing w:after="0"/>
        <w:ind w:left="0"/>
        <w:jc w:val="both"/>
      </w:pPr>
      <w:r>
        <w:rPr>
          <w:rFonts w:ascii="Times New Roman"/>
          <w:b w:val="false"/>
          <w:i w:val="false"/>
          <w:color w:val="000000"/>
          <w:sz w:val="28"/>
        </w:rPr>
        <w:t>
      19. The full name (if any) of the head of the healthcare facility who completed the notification and of the head of the relevant local public health authority of the region, city of national importance and the capital city.</w:t>
      </w:r>
    </w:p>
    <w:p>
      <w:pPr>
        <w:spacing w:after="0"/>
        <w:ind w:left="0"/>
        <w:jc w:val="both"/>
      </w:pPr>
      <w:r>
        <w:rPr>
          <w:rFonts w:ascii="Times New Roman"/>
          <w:b w:val="false"/>
          <w:i w:val="false"/>
          <w:color w:val="000000"/>
          <w:sz w:val="28"/>
        </w:rPr>
        <w:t>
      20. Date and time of completion.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