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feae" w14:textId="926f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selecting foreign organizations managing pension assets of the unified accumulative pension fund, including the requirements thereto, when they are instructed to take actions required for the management of pension assets of the unified accumulative pension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June 15, 2020 No. 78. Registered with the Ministry of Justice of the Republic of Kazakhstan on June 30, 2020 No. 20909.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80) of part two of Article 15 of the Law of the Republic of Kazakhstan "On the National Bank of the Republic of Kazakhstan", to ensure the efficiency of management of pension assets of the unified accumulative pension fund,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23.04.2024 № 23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selecting foreign organizations managing pension assets of the unified accumulative pension fund, including the requirements thereto, when they are instructed to take actions required for the management of pension assets of the unified accumulative pension fund.</w:t>
      </w:r>
    </w:p>
    <w:p>
      <w:pPr>
        <w:spacing w:after="0"/>
        <w:ind w:left="0"/>
        <w:jc w:val="both"/>
      </w:pPr>
      <w:r>
        <w:rPr>
          <w:rFonts w:ascii="Times New Roman"/>
          <w:b w:val="false"/>
          <w:i w:val="false"/>
          <w:color w:val="000000"/>
          <w:sz w:val="28"/>
        </w:rPr>
        <w:t>
      2. To recognize as invalid the resolution of the Board of the National Bank of the Republic of Kazakhstan dated September 27, 2017 № 173 "On approval of the Rules for selecting foreign organizations managing pension assets of the unified accumulative pension fund, including the requirements thereto, when they are instructed to take actions required for the management of pension assets of the unified accumulative pension fund" (registered in the Register of State Registration of Regulatory Legal Acts as № 15947, published on November 9, 2017 in the Reference Control Bank of Regulatory Legal Acts of the Republic of Kazakhstan).</w:t>
      </w:r>
    </w:p>
    <w:p>
      <w:pPr>
        <w:spacing w:after="0"/>
        <w:ind w:left="0"/>
        <w:jc w:val="both"/>
      </w:pPr>
      <w:r>
        <w:rPr>
          <w:rFonts w:ascii="Times New Roman"/>
          <w:b w:val="false"/>
          <w:i w:val="false"/>
          <w:color w:val="000000"/>
          <w:sz w:val="28"/>
        </w:rPr>
        <w:t>
      3. The Monetary Operations Department, in accordance with the procedure established by the legislation of the Republic of Kazakhstan порядке shall ensure:</w:t>
      </w:r>
    </w:p>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information about implementation of measures stipulated by subclause 2) of this clause and clause 4 of this resolution.</w:t>
      </w:r>
    </w:p>
    <w:p>
      <w:pPr>
        <w:spacing w:after="0"/>
        <w:ind w:left="0"/>
        <w:jc w:val="both"/>
      </w:pPr>
      <w:r>
        <w:rPr>
          <w:rFonts w:ascii="Times New Roman"/>
          <w:b w:val="false"/>
          <w:i w:val="false"/>
          <w:color w:val="000000"/>
          <w:sz w:val="28"/>
        </w:rPr>
        <w:t>
      4. The Information and Communications Department – press center of the National Bank shall ensure within ten calendar days after the state registration of this resolution, sending its copy for official publication to the periodical press.</w:t>
      </w:r>
    </w:p>
    <w:p>
      <w:pPr>
        <w:spacing w:after="0"/>
        <w:ind w:left="0"/>
        <w:jc w:val="both"/>
      </w:pPr>
      <w:r>
        <w:rPr>
          <w:rFonts w:ascii="Times New Roman"/>
          <w:b w:val="false"/>
          <w:i w:val="false"/>
          <w:color w:val="000000"/>
          <w:sz w:val="28"/>
        </w:rPr>
        <w:t>
      5. Control over the execution of this resolution shall be entrusted to the supervising Deputy Chairman of the National Bank of the Republic of Kazakhstan.</w:t>
      </w:r>
    </w:p>
    <w:p>
      <w:pPr>
        <w:spacing w:after="0"/>
        <w:ind w:left="0"/>
        <w:jc w:val="both"/>
      </w:pPr>
      <w:r>
        <w:rPr>
          <w:rFonts w:ascii="Times New Roman"/>
          <w:b w:val="false"/>
          <w:i w:val="false"/>
          <w:color w:val="000000"/>
          <w:sz w:val="28"/>
        </w:rPr>
        <w:t>
      6. This resolution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 of the Board of </w:t>
            </w:r>
            <w:r>
              <w:br/>
            </w:r>
            <w:r>
              <w:rPr>
                <w:rFonts w:ascii="Times New Roman"/>
                <w:b w:val="false"/>
                <w:i w:val="false"/>
                <w:color w:val="000000"/>
                <w:sz w:val="20"/>
              </w:rPr>
              <w:t xml:space="preserve">the 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June 15, 2020 № 78</w:t>
            </w:r>
          </w:p>
        </w:tc>
      </w:tr>
    </w:tbl>
    <w:p>
      <w:pPr>
        <w:spacing w:after="0"/>
        <w:ind w:left="0"/>
        <w:jc w:val="left"/>
      </w:pPr>
      <w:r>
        <w:rPr>
          <w:rFonts w:ascii="Times New Roman"/>
          <w:b/>
          <w:i w:val="false"/>
          <w:color w:val="000000"/>
        </w:rPr>
        <w:t xml:space="preserve"> Rules for selecting foreign organizations managing pension assets of the unified accumulative pension fund, including the requirements thereto, when they are instructed to take actions required for the management of pension assets of the unified accumulative pension fund Chapter 1. General Provisions</w:t>
      </w:r>
    </w:p>
    <w:p>
      <w:pPr>
        <w:spacing w:after="0"/>
        <w:ind w:left="0"/>
        <w:jc w:val="both"/>
      </w:pPr>
      <w:r>
        <w:rPr>
          <w:rFonts w:ascii="Times New Roman"/>
          <w:b w:val="false"/>
          <w:i w:val="false"/>
          <w:color w:val="000000"/>
          <w:sz w:val="28"/>
        </w:rPr>
        <w:t>
      1. These Rules for the selection of foreign organizations managing pension assets of the unified accumulative pension fund, including requirements for them, when instructing them to perform actions necessary for managing pension assets of the unified accumulative pension fund (hereinafter referred to as the Rules) have been developed in accordance with the Social Code of the Republic of Kazakhstan, the Law of the Republic of Kazakhstan "On the National Bank of the Republic of Kazakhstan" and shall determine the procedure for selecting foreign organizations managing pension assets of unified accumulative pension fund (hereinafter referred to as the Fund), including requirements for them, when instructing them to perform actions necessary for managing the pension assets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23.04.2024 № 23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 Rules:</w:t>
      </w:r>
    </w:p>
    <w:p>
      <w:pPr>
        <w:spacing w:after="0"/>
        <w:ind w:left="0"/>
        <w:jc w:val="both"/>
      </w:pPr>
      <w:r>
        <w:rPr>
          <w:rFonts w:ascii="Times New Roman"/>
          <w:b w:val="false"/>
          <w:i w:val="false"/>
          <w:color w:val="000000"/>
          <w:sz w:val="28"/>
        </w:rPr>
        <w:t>
      1) improved index asset management – type of management, in which the value of the variability of the yield deviation (tracking error) is from 0.5 (zero point five tenths) to 2 (two) percent inclusive. With improved index management, a moderate deviation from the main indicators of the benchmark portfolio is assumed;</w:t>
      </w:r>
    </w:p>
    <w:p>
      <w:pPr>
        <w:spacing w:after="0"/>
        <w:ind w:left="0"/>
        <w:jc w:val="both"/>
      </w:pPr>
      <w:r>
        <w:rPr>
          <w:rFonts w:ascii="Times New Roman"/>
          <w:b w:val="false"/>
          <w:i w:val="false"/>
          <w:color w:val="000000"/>
          <w:sz w:val="28"/>
        </w:rPr>
        <w:t>
      2) information coefficient (information ratio) – ratio of excess returns to the variability of the yield deviation (tracking error);</w:t>
      </w:r>
    </w:p>
    <w:p>
      <w:pPr>
        <w:spacing w:after="0"/>
        <w:ind w:left="0"/>
        <w:jc w:val="both"/>
      </w:pPr>
      <w:r>
        <w:rPr>
          <w:rFonts w:ascii="Times New Roman"/>
          <w:b w:val="false"/>
          <w:i w:val="false"/>
          <w:color w:val="000000"/>
          <w:sz w:val="28"/>
        </w:rPr>
        <w:t>
      3) specialized system – software and (or) a special Internet resource that has a base of investment and (or) analytical data required to analyze the activities of external managers;</w:t>
      </w:r>
    </w:p>
    <w:p>
      <w:pPr>
        <w:spacing w:after="0"/>
        <w:ind w:left="0"/>
        <w:jc w:val="both"/>
      </w:pPr>
      <w:r>
        <w:rPr>
          <w:rFonts w:ascii="Times New Roman"/>
          <w:b w:val="false"/>
          <w:i w:val="false"/>
          <w:color w:val="000000"/>
          <w:sz w:val="28"/>
        </w:rPr>
        <w:t>
      4) specialized mandate – a mandate transferred to the external management for the purposes of diversification of assets by using the investment strategies that contemplate unique investment approaches at the level of separate classes of assets, types of management, countries and regions;</w:t>
      </w:r>
    </w:p>
    <w:p>
      <w:pPr>
        <w:spacing w:after="0"/>
        <w:ind w:left="0"/>
        <w:jc w:val="both"/>
      </w:pPr>
      <w:r>
        <w:rPr>
          <w:rFonts w:ascii="Times New Roman"/>
          <w:b w:val="false"/>
          <w:i w:val="false"/>
          <w:color w:val="000000"/>
          <w:sz w:val="28"/>
        </w:rPr>
        <w:t>
      5) diversification – placement of pension assets in various financial instruments to reduce the risk of their loss in accordance with the requirements established by the National Bank of the Republic of Kazakhstan;</w:t>
      </w:r>
    </w:p>
    <w:p>
      <w:pPr>
        <w:spacing w:after="0"/>
        <w:ind w:left="0"/>
        <w:jc w:val="both"/>
      </w:pPr>
      <w:r>
        <w:rPr>
          <w:rFonts w:ascii="Times New Roman"/>
          <w:b w:val="false"/>
          <w:i w:val="false"/>
          <w:color w:val="000000"/>
          <w:sz w:val="28"/>
        </w:rPr>
        <w:t>
      6) management control – the ability of one legal entity to directly and (or) indirectly determine decisions and (or) influence decisions made by another legal entity in connection with participation (ownership) in such a legal entity;</w:t>
      </w:r>
    </w:p>
    <w:p>
      <w:pPr>
        <w:spacing w:after="0"/>
        <w:ind w:left="0"/>
        <w:jc w:val="both"/>
      </w:pPr>
      <w:r>
        <w:rPr>
          <w:rFonts w:ascii="Times New Roman"/>
          <w:b w:val="false"/>
          <w:i w:val="false"/>
          <w:color w:val="000000"/>
          <w:sz w:val="28"/>
        </w:rPr>
        <w:t>
      7) exchange market – an aggregate of relations using the trading systems of the auction organizer, which provides organizational and technical support for the auction;</w:t>
      </w:r>
    </w:p>
    <w:p>
      <w:pPr>
        <w:spacing w:after="0"/>
        <w:ind w:left="0"/>
        <w:jc w:val="both"/>
      </w:pPr>
      <w:r>
        <w:rPr>
          <w:rFonts w:ascii="Times New Roman"/>
          <w:b w:val="false"/>
          <w:i w:val="false"/>
          <w:color w:val="000000"/>
          <w:sz w:val="28"/>
        </w:rPr>
        <w:t>
      8) global mandate – a portfolio whose investments go beyond one country (market, region);</w:t>
      </w:r>
    </w:p>
    <w:p>
      <w:pPr>
        <w:spacing w:after="0"/>
        <w:ind w:left="0"/>
        <w:jc w:val="both"/>
      </w:pPr>
      <w:r>
        <w:rPr>
          <w:rFonts w:ascii="Times New Roman"/>
          <w:b w:val="false"/>
          <w:i w:val="false"/>
          <w:color w:val="000000"/>
          <w:sz w:val="28"/>
        </w:rPr>
        <w:t>
      9) investment due diligence - a complex of analytical measures aimed at a comprehensive check and assessment of the effectiveness of the investment activities of the external manager;</w:t>
      </w:r>
    </w:p>
    <w:p>
      <w:pPr>
        <w:spacing w:after="0"/>
        <w:ind w:left="0"/>
        <w:jc w:val="both"/>
      </w:pPr>
      <w:r>
        <w:rPr>
          <w:rFonts w:ascii="Times New Roman"/>
          <w:b w:val="false"/>
          <w:i w:val="false"/>
          <w:color w:val="000000"/>
          <w:sz w:val="28"/>
        </w:rPr>
        <w:t>
      10) institutional investor – a legal entity, carrying out investment of money in the financial instruments;</w:t>
      </w:r>
    </w:p>
    <w:p>
      <w:pPr>
        <w:spacing w:after="0"/>
        <w:ind w:left="0"/>
        <w:jc w:val="both"/>
      </w:pPr>
      <w:r>
        <w:rPr>
          <w:rFonts w:ascii="Times New Roman"/>
          <w:b w:val="false"/>
          <w:i w:val="false"/>
          <w:color w:val="000000"/>
          <w:sz w:val="28"/>
        </w:rPr>
        <w:t>
      11) group of companies – legal entities that are collectively under the management control of one legal entity, or legal entities, one of which has management control over another legal entity;</w:t>
      </w:r>
    </w:p>
    <w:p>
      <w:pPr>
        <w:spacing w:after="0"/>
        <w:ind w:left="0"/>
        <w:jc w:val="both"/>
      </w:pPr>
      <w:r>
        <w:rPr>
          <w:rFonts w:ascii="Times New Roman"/>
          <w:b w:val="false"/>
          <w:i w:val="false"/>
          <w:color w:val="000000"/>
          <w:sz w:val="28"/>
        </w:rPr>
        <w:t>
      12) assets under advisory service - assets under the management of an external manager, on which the external manager advises the client in terms of investment asset management;</w:t>
      </w:r>
    </w:p>
    <w:p>
      <w:pPr>
        <w:spacing w:after="0"/>
        <w:ind w:left="0"/>
        <w:jc w:val="both"/>
      </w:pPr>
      <w:r>
        <w:rPr>
          <w:rFonts w:ascii="Times New Roman"/>
          <w:b w:val="false"/>
          <w:i w:val="false"/>
          <w:color w:val="000000"/>
          <w:sz w:val="28"/>
        </w:rPr>
        <w:t>
      13) mandate - a portfolio with specific investment characteristics;</w:t>
      </w:r>
    </w:p>
    <w:p>
      <w:pPr>
        <w:spacing w:after="0"/>
        <w:ind w:left="0"/>
        <w:jc w:val="both"/>
      </w:pPr>
      <w:r>
        <w:rPr>
          <w:rFonts w:ascii="Times New Roman"/>
          <w:b w:val="false"/>
          <w:i w:val="false"/>
          <w:color w:val="000000"/>
          <w:sz w:val="28"/>
        </w:rPr>
        <w:t>
      14) margin account - an account for transactions with financial derivatives, opened with a clearing organization and used for the purpose of placing collateral for transactions and settlements on transactions with financial derivatives;</w:t>
      </w:r>
    </w:p>
    <w:p>
      <w:pPr>
        <w:spacing w:after="0"/>
        <w:ind w:left="0"/>
        <w:jc w:val="both"/>
      </w:pPr>
      <w:r>
        <w:rPr>
          <w:rFonts w:ascii="Times New Roman"/>
          <w:b w:val="false"/>
          <w:i w:val="false"/>
          <w:color w:val="000000"/>
          <w:sz w:val="28"/>
        </w:rPr>
        <w:t>
      15) operational due diligence - a complex of analytical measures aimed at a comprehensive checking and assessing the effectiveness of the operating activities of the external manager;</w:t>
      </w:r>
    </w:p>
    <w:p>
      <w:pPr>
        <w:spacing w:after="0"/>
        <w:ind w:left="0"/>
        <w:jc w:val="both"/>
      </w:pPr>
      <w:r>
        <w:rPr>
          <w:rFonts w:ascii="Times New Roman"/>
          <w:b w:val="false"/>
          <w:i w:val="false"/>
          <w:color w:val="000000"/>
          <w:sz w:val="28"/>
        </w:rPr>
        <w:t>
      16) regional mandate - a portfolio whose investments are concentrated within one country (market, region);</w:t>
      </w:r>
    </w:p>
    <w:p>
      <w:pPr>
        <w:spacing w:after="0"/>
        <w:ind w:left="0"/>
        <w:jc w:val="both"/>
      </w:pPr>
      <w:r>
        <w:rPr>
          <w:rFonts w:ascii="Times New Roman"/>
          <w:b w:val="false"/>
          <w:i w:val="false"/>
          <w:color w:val="000000"/>
          <w:sz w:val="28"/>
        </w:rPr>
        <w:t>
      17) portfolio manager - the person who is responsible for the management of clients' assets;</w:t>
      </w:r>
    </w:p>
    <w:p>
      <w:pPr>
        <w:spacing w:after="0"/>
        <w:ind w:left="0"/>
        <w:jc w:val="both"/>
      </w:pPr>
      <w:r>
        <w:rPr>
          <w:rFonts w:ascii="Times New Roman"/>
          <w:b w:val="false"/>
          <w:i w:val="false"/>
          <w:color w:val="000000"/>
          <w:sz w:val="28"/>
        </w:rPr>
        <w:t>
      18) external manager – a foreign organization, including a bank, created in accordance with the legislation of a foreign state, specializing in the investment management of clients' assets and operating in the international financial markets;</w:t>
      </w:r>
    </w:p>
    <w:p>
      <w:pPr>
        <w:spacing w:after="0"/>
        <w:ind w:left="0"/>
        <w:jc w:val="both"/>
      </w:pPr>
      <w:r>
        <w:rPr>
          <w:rFonts w:ascii="Times New Roman"/>
          <w:b w:val="false"/>
          <w:i w:val="false"/>
          <w:color w:val="000000"/>
          <w:sz w:val="28"/>
        </w:rPr>
        <w:t>
      19) external management – type of pension asset management in which pension assets are transferred to investment management by an external manager;</w:t>
      </w:r>
    </w:p>
    <w:p>
      <w:pPr>
        <w:spacing w:after="0"/>
        <w:ind w:left="0"/>
        <w:jc w:val="both"/>
      </w:pPr>
      <w:r>
        <w:rPr>
          <w:rFonts w:ascii="Times New Roman"/>
          <w:b w:val="false"/>
          <w:i w:val="false"/>
          <w:color w:val="000000"/>
          <w:sz w:val="28"/>
        </w:rPr>
        <w:t>
      20) external transit management - a type of asset management in which pension assets are transferred to an external transit manager in order to minimize risks due to changes in the structure of transferred assets before the selection and (or) transfer of assets to an external manager according to the appropriate mandate;</w:t>
      </w:r>
    </w:p>
    <w:p>
      <w:pPr>
        <w:spacing w:after="0"/>
        <w:ind w:left="0"/>
        <w:jc w:val="both"/>
      </w:pPr>
      <w:r>
        <w:rPr>
          <w:rFonts w:ascii="Times New Roman"/>
          <w:b w:val="false"/>
          <w:i w:val="false"/>
          <w:color w:val="000000"/>
          <w:sz w:val="28"/>
        </w:rPr>
        <w:t>
      21) external transit manager - a foreign organization, including a bank, created in accordance with the legislation of a foreign state, specializing in external transit management of clients' assets and operating in the international financial markets;</w:t>
      </w:r>
    </w:p>
    <w:p>
      <w:pPr>
        <w:spacing w:after="0"/>
        <w:ind w:left="0"/>
        <w:jc w:val="both"/>
      </w:pPr>
      <w:r>
        <w:rPr>
          <w:rFonts w:ascii="Times New Roman"/>
          <w:b w:val="false"/>
          <w:i w:val="false"/>
          <w:color w:val="000000"/>
          <w:sz w:val="28"/>
        </w:rPr>
        <w:t>
      22) transit period – a time period applied to the portfolio, established in accordance with the Rules in order to bring it in line with the parameters established by the investment management agreement;</w:t>
      </w:r>
    </w:p>
    <w:p>
      <w:pPr>
        <w:spacing w:after="0"/>
        <w:ind w:left="0"/>
        <w:jc w:val="both"/>
      </w:pPr>
      <w:r>
        <w:rPr>
          <w:rFonts w:ascii="Times New Roman"/>
          <w:b w:val="false"/>
          <w:i w:val="false"/>
          <w:color w:val="000000"/>
          <w:sz w:val="28"/>
        </w:rPr>
        <w:t>
      23) the authorized subdivision – a subdivision of the National Bank that manages and monitors pension assets of the Fund;</w:t>
      </w:r>
    </w:p>
    <w:p>
      <w:pPr>
        <w:spacing w:after="0"/>
        <w:ind w:left="0"/>
        <w:jc w:val="both"/>
      </w:pPr>
      <w:r>
        <w:rPr>
          <w:rFonts w:ascii="Times New Roman"/>
          <w:b w:val="false"/>
          <w:i w:val="false"/>
          <w:color w:val="000000"/>
          <w:sz w:val="28"/>
        </w:rPr>
        <w:t>
      24) management of the National Bank – Chairman of the National Bank, Deputy Chairman of the National Bank supervising the authorized subdivision;</w:t>
      </w:r>
    </w:p>
    <w:p>
      <w:pPr>
        <w:spacing w:after="0"/>
        <w:ind w:left="0"/>
        <w:jc w:val="both"/>
      </w:pPr>
      <w:r>
        <w:rPr>
          <w:rFonts w:ascii="Times New Roman"/>
          <w:b w:val="false"/>
          <w:i w:val="false"/>
          <w:color w:val="000000"/>
          <w:sz w:val="28"/>
        </w:rPr>
        <w:t>
      25) level of excess returns– the difference between the actually achieved level of return and the level of return of the reference portfolio;</w:t>
      </w:r>
    </w:p>
    <w:p>
      <w:pPr>
        <w:spacing w:after="0"/>
        <w:ind w:left="0"/>
        <w:jc w:val="both"/>
      </w:pPr>
      <w:r>
        <w:rPr>
          <w:rFonts w:ascii="Times New Roman"/>
          <w:b w:val="false"/>
          <w:i w:val="false"/>
          <w:color w:val="000000"/>
          <w:sz w:val="28"/>
        </w:rPr>
        <w:t>
      26) forex operations – buying and (or) selling foreign currency on the exchange and over-the-counter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National Bank of the Republic of Kazakhstan dated 23.04.2024 № 23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total allowable volume of pension assets of the Fund transferred to external management to one external manager shall be no more than 10 (ten) percent of the volume of the portfolio of pension assets of the Fund in foreign currency.</w:t>
      </w:r>
    </w:p>
    <w:p>
      <w:pPr>
        <w:spacing w:after="0"/>
        <w:ind w:left="0"/>
        <w:jc w:val="both"/>
      </w:pPr>
      <w:r>
        <w:rPr>
          <w:rFonts w:ascii="Times New Roman"/>
          <w:b w:val="false"/>
          <w:i w:val="false"/>
          <w:color w:val="000000"/>
          <w:sz w:val="28"/>
        </w:rPr>
        <w:t>
      4. In case of exceeding the limit specified in clause 3 of the Rules, including in the event of a merger of two existing external managers, the authorized subdivision will eliminate the non-compliance within 3 (three) months from the date of such exceeding.</w:t>
      </w:r>
    </w:p>
    <w:p>
      <w:pPr>
        <w:spacing w:after="0"/>
        <w:ind w:left="0"/>
        <w:jc w:val="both"/>
      </w:pPr>
      <w:r>
        <w:rPr>
          <w:rFonts w:ascii="Times New Roman"/>
          <w:b w:val="false"/>
          <w:i w:val="false"/>
          <w:color w:val="000000"/>
          <w:sz w:val="28"/>
        </w:rPr>
        <w:t>
      5. Pension assets of the Fund shall be transferred to the external management in order to:</w:t>
      </w:r>
    </w:p>
    <w:p>
      <w:pPr>
        <w:spacing w:after="0"/>
        <w:ind w:left="0"/>
        <w:jc w:val="both"/>
      </w:pPr>
      <w:r>
        <w:rPr>
          <w:rFonts w:ascii="Times New Roman"/>
          <w:b w:val="false"/>
          <w:i w:val="false"/>
          <w:color w:val="000000"/>
          <w:sz w:val="28"/>
        </w:rPr>
        <w:t>
      1) reduce the level of risks associated with types of management;</w:t>
      </w:r>
    </w:p>
    <w:p>
      <w:pPr>
        <w:spacing w:after="0"/>
        <w:ind w:left="0"/>
        <w:jc w:val="both"/>
      </w:pPr>
      <w:r>
        <w:rPr>
          <w:rFonts w:ascii="Times New Roman"/>
          <w:b w:val="false"/>
          <w:i w:val="false"/>
          <w:color w:val="000000"/>
          <w:sz w:val="28"/>
        </w:rPr>
        <w:t>
      2) increase the returns of the managing the pension assets of the Fund through the use of experience, analytical materials, research and technical resources of an external manager;</w:t>
      </w:r>
    </w:p>
    <w:p>
      <w:pPr>
        <w:spacing w:after="0"/>
        <w:ind w:left="0"/>
        <w:jc w:val="both"/>
      </w:pPr>
      <w:r>
        <w:rPr>
          <w:rFonts w:ascii="Times New Roman"/>
          <w:b w:val="false"/>
          <w:i w:val="false"/>
          <w:color w:val="000000"/>
          <w:sz w:val="28"/>
        </w:rPr>
        <w:t>
      3) improve the efficiency of the management of the pension assets of the Fund through the use of expertise and advice in the field of asset management received from external managers;</w:t>
      </w:r>
    </w:p>
    <w:p>
      <w:pPr>
        <w:spacing w:after="0"/>
        <w:ind w:left="0"/>
        <w:jc w:val="both"/>
      </w:pPr>
      <w:r>
        <w:rPr>
          <w:rFonts w:ascii="Times New Roman"/>
          <w:b w:val="false"/>
          <w:i w:val="false"/>
          <w:color w:val="000000"/>
          <w:sz w:val="28"/>
        </w:rPr>
        <w:t>
      4) introduce new asset classes for which there is no experience in independent asset management.</w:t>
      </w:r>
    </w:p>
    <w:p>
      <w:pPr>
        <w:spacing w:after="0"/>
        <w:ind w:left="0"/>
        <w:jc w:val="both"/>
      </w:pPr>
      <w:r>
        <w:rPr>
          <w:rFonts w:ascii="Times New Roman"/>
          <w:b w:val="false"/>
          <w:i w:val="false"/>
          <w:color w:val="000000"/>
          <w:sz w:val="28"/>
        </w:rPr>
        <w:t>
      6. The choice of the type of management (active, improved index or passive (index)) and the reference portfolio for the external manager shall be carried out in accordance with the objectives of the management of the pension assets of the Fund and the restrictions provided for by the Fund's investment declaration, depending on the market situation.</w:t>
      </w:r>
    </w:p>
    <w:p>
      <w:pPr>
        <w:spacing w:after="0"/>
        <w:ind w:left="0"/>
        <w:jc w:val="both"/>
      </w:pPr>
      <w:r>
        <w:rPr>
          <w:rFonts w:ascii="Times New Roman"/>
          <w:b w:val="false"/>
          <w:i w:val="false"/>
          <w:color w:val="000000"/>
          <w:sz w:val="28"/>
        </w:rPr>
        <w:t>
      7. An external manager or external transit manager shall be paid a fixed commission and (or) a commission depending on the results of the management of the transferred pension assets of the Fund in external management or in an external transit management, in accordance with the investment management agreement.</w:t>
      </w:r>
    </w:p>
    <w:p>
      <w:pPr>
        <w:spacing w:after="0"/>
        <w:ind w:left="0"/>
        <w:jc w:val="left"/>
      </w:pPr>
      <w:r>
        <w:rPr>
          <w:rFonts w:ascii="Times New Roman"/>
          <w:b/>
          <w:i w:val="false"/>
          <w:color w:val="000000"/>
        </w:rPr>
        <w:t xml:space="preserve"> Chapter 2. Procedure for selecting the external managers of the pension assets of the Fund, including requirements thereto, when they are instructed to take actions required for the management of pension assets of the Fund</w:t>
      </w:r>
    </w:p>
    <w:p>
      <w:pPr>
        <w:spacing w:after="0"/>
        <w:ind w:left="0"/>
        <w:jc w:val="both"/>
      </w:pPr>
      <w:r>
        <w:rPr>
          <w:rFonts w:ascii="Times New Roman"/>
          <w:b w:val="false"/>
          <w:i w:val="false"/>
          <w:color w:val="000000"/>
          <w:sz w:val="28"/>
        </w:rPr>
        <w:t>
      8. The organization of the procedure for the selecting the external managers shall be carried out by the authorized subdivision.</w:t>
      </w:r>
    </w:p>
    <w:p>
      <w:pPr>
        <w:spacing w:after="0"/>
        <w:ind w:left="0"/>
        <w:jc w:val="both"/>
      </w:pPr>
      <w:r>
        <w:rPr>
          <w:rFonts w:ascii="Times New Roman"/>
          <w:b w:val="false"/>
          <w:i w:val="false"/>
          <w:color w:val="000000"/>
          <w:sz w:val="28"/>
        </w:rPr>
        <w:t>
      9. The authorized subdivision shall publish on the official Internet resource of the National Bank, as well as on other information and analytical resources available for potential external managers, information about the planned selection of the external manager, shall compile a list of potential external managers, shall send information to potential external managers.</w:t>
      </w:r>
    </w:p>
    <w:p>
      <w:pPr>
        <w:spacing w:after="0"/>
        <w:ind w:left="0"/>
        <w:jc w:val="both"/>
      </w:pPr>
      <w:r>
        <w:rPr>
          <w:rFonts w:ascii="Times New Roman"/>
          <w:b w:val="false"/>
          <w:i w:val="false"/>
          <w:color w:val="000000"/>
          <w:sz w:val="28"/>
        </w:rPr>
        <w:t>
      A mandatory condition for considering the proposal of a potential external manager shall be his consent to the inclusion of condition, stipulated by clause 24 of the Rules, in the investment management agreement.</w:t>
      </w:r>
    </w:p>
    <w:p>
      <w:pPr>
        <w:spacing w:after="0"/>
        <w:ind w:left="0"/>
        <w:jc w:val="both"/>
      </w:pPr>
      <w:r>
        <w:rPr>
          <w:rFonts w:ascii="Times New Roman"/>
          <w:b w:val="false"/>
          <w:i w:val="false"/>
          <w:color w:val="000000"/>
          <w:sz w:val="28"/>
        </w:rPr>
        <w:t>
      10. A potential external manager shall submit to the National Bank in electronic form and (or) in hard copy, minimum information requested from the potential external management, in accordance with Appendix 1 to the Rules. It is allowed to receive information from a specialized system by the authorized subdivision.</w:t>
      </w:r>
    </w:p>
    <w:p>
      <w:pPr>
        <w:spacing w:after="0"/>
        <w:ind w:left="0"/>
        <w:jc w:val="both"/>
      </w:pPr>
      <w:r>
        <w:rPr>
          <w:rFonts w:ascii="Times New Roman"/>
          <w:b w:val="false"/>
          <w:i w:val="false"/>
          <w:color w:val="000000"/>
          <w:sz w:val="28"/>
        </w:rPr>
        <w:t>
      11. The authorized subdivision shall carry out a comparative analysis of all proposals received from potential external managers, taking into account the mandatory requirements for them, when instructing them to take actions necessary to manage pension assets, stipulated by clauses 12 and (or) 13 of the Rules.</w:t>
      </w:r>
    </w:p>
    <w:p>
      <w:pPr>
        <w:spacing w:after="0"/>
        <w:ind w:left="0"/>
        <w:jc w:val="both"/>
      </w:pPr>
      <w:r>
        <w:rPr>
          <w:rFonts w:ascii="Times New Roman"/>
          <w:b w:val="false"/>
          <w:i w:val="false"/>
          <w:color w:val="000000"/>
          <w:sz w:val="28"/>
        </w:rPr>
        <w:t>
      If a potential external manager meets the mandatory requirements thereto, when they are instructed to take actions necessary for the management of pension assets, provided for in clauses 12 and (or) 13 of the Rules, the authorized subdivision shall carry out a comparative analysis of proposals of potential external managers in accordance with the assessment criteria for the comparative analysis of proposals of potential external managers (hereinafter referred to as the Assessment criteria) according to Appendix 2 to the Rules to form a long list of potential external managers (hereinafter referred to as the long list).</w:t>
      </w:r>
    </w:p>
    <w:p>
      <w:pPr>
        <w:spacing w:after="0"/>
        <w:ind w:left="0"/>
        <w:jc w:val="both"/>
      </w:pPr>
      <w:r>
        <w:rPr>
          <w:rFonts w:ascii="Times New Roman"/>
          <w:b w:val="false"/>
          <w:i w:val="false"/>
          <w:color w:val="000000"/>
          <w:sz w:val="28"/>
        </w:rPr>
        <w:t>
      When carrying out a comparative analysis of the proposals of potential external managers, it shall be allowed to use the National Bank's own data on the current external manager of the National Bank's gold and foreign exchange assets and assets held in trust by the National Bank.</w:t>
      </w:r>
    </w:p>
    <w:p>
      <w:pPr>
        <w:spacing w:after="0"/>
        <w:ind w:left="0"/>
        <w:jc w:val="both"/>
      </w:pPr>
      <w:r>
        <w:rPr>
          <w:rFonts w:ascii="Times New Roman"/>
          <w:b w:val="false"/>
          <w:i w:val="false"/>
          <w:color w:val="000000"/>
          <w:sz w:val="28"/>
        </w:rPr>
        <w:t>
      In order to clarify the information provided by a potential external manager, it is allowed for the authorized unit to send additional inquiries to such a potential external manager. If the potential external manager fails to provide additional requested information, the score for the corresponding criterion shall not be taken into account in the Assessment criteria.</w:t>
      </w:r>
    </w:p>
    <w:p>
      <w:pPr>
        <w:spacing w:after="0"/>
        <w:ind w:left="0"/>
        <w:jc w:val="both"/>
      </w:pPr>
      <w:r>
        <w:rPr>
          <w:rFonts w:ascii="Times New Roman"/>
          <w:b w:val="false"/>
          <w:i w:val="false"/>
          <w:color w:val="000000"/>
          <w:sz w:val="28"/>
        </w:rPr>
        <w:t>
      12. To select external managers for global mandates, the mandatory requirements to them, when they are instructed to take actions, necessary for the management of pension assets shall be:</w:t>
      </w:r>
    </w:p>
    <w:p>
      <w:pPr>
        <w:spacing w:after="0"/>
        <w:ind w:left="0"/>
        <w:jc w:val="both"/>
      </w:pPr>
      <w:r>
        <w:rPr>
          <w:rFonts w:ascii="Times New Roman"/>
          <w:b w:val="false"/>
          <w:i w:val="false"/>
          <w:color w:val="000000"/>
          <w:sz w:val="28"/>
        </w:rPr>
        <w:t>
      1) experience of working with financial instruments in which pension assets of the Fund are supposed to invest - at least 10 (ten) years, of which at least 5 (five) years of experience in the declared mandate, or if the potential external manager has exclusively similar regional mandates - at least 5 (five) years of experience in regional mandates that amount to at least seventy five (75) percent of the global mandate coverage.</w:t>
      </w:r>
    </w:p>
    <w:p>
      <w:pPr>
        <w:spacing w:after="0"/>
        <w:ind w:left="0"/>
        <w:jc w:val="both"/>
      </w:pPr>
      <w:r>
        <w:rPr>
          <w:rFonts w:ascii="Times New Roman"/>
          <w:b w:val="false"/>
          <w:i w:val="false"/>
          <w:color w:val="000000"/>
          <w:sz w:val="28"/>
        </w:rPr>
        <w:t>
      It is allowed to calculate the work experience of a potential external manager, taking into account the work experience of legal entities that are part of a group of companies with him;</w:t>
      </w:r>
    </w:p>
    <w:p>
      <w:pPr>
        <w:spacing w:after="0"/>
        <w:ind w:left="0"/>
        <w:jc w:val="both"/>
      </w:pPr>
      <w:r>
        <w:rPr>
          <w:rFonts w:ascii="Times New Roman"/>
          <w:b w:val="false"/>
          <w:i w:val="false"/>
          <w:color w:val="000000"/>
          <w:sz w:val="28"/>
        </w:rPr>
        <w:t>
      2) the total amount of clients' assets under the management of a potential external manager (including assets on consulting services) - not less than the equivalent of 25 (twenty-five) billion US dollars (hereinafter referred to as the US);</w:t>
      </w:r>
    </w:p>
    <w:p>
      <w:pPr>
        <w:spacing w:after="0"/>
        <w:ind w:left="0"/>
        <w:jc w:val="both"/>
      </w:pPr>
      <w:r>
        <w:rPr>
          <w:rFonts w:ascii="Times New Roman"/>
          <w:b w:val="false"/>
          <w:i w:val="false"/>
          <w:color w:val="000000"/>
          <w:sz w:val="28"/>
        </w:rPr>
        <w:t>
      3) the total amount of clients' assets under the mandate under consideration, managed by a potential external manager is not less than the equivalent of 1 (one) billion US dollars, or if the potential external manager has exclusively similar regional mandates under management - not less than the equivalent of 1 (one) billion US dollars for regional mandates that are at least seventy-five percent (75) percent of the global mandate.</w:t>
      </w:r>
    </w:p>
    <w:p>
      <w:pPr>
        <w:spacing w:after="0"/>
        <w:ind w:left="0"/>
        <w:jc w:val="both"/>
      </w:pPr>
      <w:r>
        <w:rPr>
          <w:rFonts w:ascii="Times New Roman"/>
          <w:b w:val="false"/>
          <w:i w:val="false"/>
          <w:color w:val="000000"/>
          <w:sz w:val="28"/>
        </w:rPr>
        <w:t>
      13. to select external managers for specialized mandates, the mandatory requirements to them, when they are instructed to take actions, necessary for the management of pension assets shall be:</w:t>
      </w:r>
    </w:p>
    <w:p>
      <w:pPr>
        <w:spacing w:after="0"/>
        <w:ind w:left="0"/>
        <w:jc w:val="both"/>
      </w:pPr>
      <w:r>
        <w:rPr>
          <w:rFonts w:ascii="Times New Roman"/>
          <w:b w:val="false"/>
          <w:i w:val="false"/>
          <w:color w:val="000000"/>
          <w:sz w:val="28"/>
        </w:rPr>
        <w:t>
      1) work experience of a potential external manager with financial instruments in which the pension assets of the Fund are supposed to be invested - at least 5 (five) years, of which at least 3 (three) years of work experience under the announced mandate, or if the potential external manager has under management exclusively similar regional mandates - at least 3 (three) years of experience in regional mandates that amount to at least seventy-five (75) percent of the global mandate coverage.</w:t>
      </w:r>
    </w:p>
    <w:p>
      <w:pPr>
        <w:spacing w:after="0"/>
        <w:ind w:left="0"/>
        <w:jc w:val="both"/>
      </w:pPr>
      <w:r>
        <w:rPr>
          <w:rFonts w:ascii="Times New Roman"/>
          <w:b w:val="false"/>
          <w:i w:val="false"/>
          <w:color w:val="000000"/>
          <w:sz w:val="28"/>
        </w:rPr>
        <w:t>
      It is allowed to calculate the work experience of a potential external manager, taking into account the work experience of legal entities that are part of a group of companies with him;</w:t>
      </w:r>
    </w:p>
    <w:p>
      <w:pPr>
        <w:spacing w:after="0"/>
        <w:ind w:left="0"/>
        <w:jc w:val="both"/>
      </w:pPr>
      <w:r>
        <w:rPr>
          <w:rFonts w:ascii="Times New Roman"/>
          <w:b w:val="false"/>
          <w:i w:val="false"/>
          <w:color w:val="000000"/>
          <w:sz w:val="28"/>
        </w:rPr>
        <w:t>
      2) the total amount of clients' assets under the management of a potential external manager (including assets on consulting services) - not less than the equivalent of 1 (one) billion US dollars;</w:t>
      </w:r>
    </w:p>
    <w:p>
      <w:pPr>
        <w:spacing w:after="0"/>
        <w:ind w:left="0"/>
        <w:jc w:val="both"/>
      </w:pPr>
      <w:r>
        <w:rPr>
          <w:rFonts w:ascii="Times New Roman"/>
          <w:b w:val="false"/>
          <w:i w:val="false"/>
          <w:color w:val="000000"/>
          <w:sz w:val="28"/>
        </w:rPr>
        <w:t>
      3) the total amount of clients' assets under the mandate under consideration, managed by a potential external manager - not less than the equivalent of 150 (one hundred and fifty) million US dollars.</w:t>
      </w:r>
    </w:p>
    <w:p>
      <w:pPr>
        <w:spacing w:after="0"/>
        <w:ind w:left="0"/>
        <w:jc w:val="both"/>
      </w:pPr>
      <w:r>
        <w:rPr>
          <w:rFonts w:ascii="Times New Roman"/>
          <w:b w:val="false"/>
          <w:i w:val="false"/>
          <w:color w:val="000000"/>
          <w:sz w:val="28"/>
        </w:rPr>
        <w:t>
      At the same time, the volume of pension assets transferred to one external manager does not exceed 50 (fifty) percent of the volume of assets in the investment management for the considered mandate, which are under the management of such an external manager.</w:t>
      </w:r>
    </w:p>
    <w:p>
      <w:pPr>
        <w:spacing w:after="0"/>
        <w:ind w:left="0"/>
        <w:jc w:val="both"/>
      </w:pPr>
      <w:r>
        <w:rPr>
          <w:rFonts w:ascii="Times New Roman"/>
          <w:b w:val="false"/>
          <w:i w:val="false"/>
          <w:color w:val="000000"/>
          <w:sz w:val="28"/>
        </w:rPr>
        <w:t>
      14. It is allowed to apply of the authorized subdivision to the clients of a potential external manager with a request about the results and quality of client asset management.</w:t>
      </w:r>
    </w:p>
    <w:p>
      <w:pPr>
        <w:spacing w:after="0"/>
        <w:ind w:left="0"/>
        <w:jc w:val="both"/>
      </w:pPr>
      <w:r>
        <w:rPr>
          <w:rFonts w:ascii="Times New Roman"/>
          <w:b w:val="false"/>
          <w:i w:val="false"/>
          <w:color w:val="000000"/>
          <w:sz w:val="28"/>
        </w:rPr>
        <w:t>
      15. The conclusion prepared by the authorized subdivision on a long list, containing a comparative analysis of the proposals of potential external managers and recommendations for their selection, is submitted for consideration to the Chairman of the National Bank, who, based on the results of consideration, approves a short list of potential external managers with the most advantageous proposals (hereinafter referred to as the short list) by imposing a resolution to the conclusion of the authorized subdivision.</w:t>
      </w:r>
    </w:p>
    <w:p>
      <w:pPr>
        <w:spacing w:after="0"/>
        <w:ind w:left="0"/>
        <w:jc w:val="both"/>
      </w:pPr>
      <w:r>
        <w:rPr>
          <w:rFonts w:ascii="Times New Roman"/>
          <w:b w:val="false"/>
          <w:i w:val="false"/>
          <w:color w:val="000000"/>
          <w:sz w:val="28"/>
        </w:rPr>
        <w:t>
      The authorized subdivision shall hold negotiations with potential shortlisted external managers to improve the terms of the proposals of external managers.</w:t>
      </w:r>
    </w:p>
    <w:p>
      <w:pPr>
        <w:spacing w:after="0"/>
        <w:ind w:left="0"/>
        <w:jc w:val="both"/>
      </w:pPr>
      <w:r>
        <w:rPr>
          <w:rFonts w:ascii="Times New Roman"/>
          <w:b w:val="false"/>
          <w:i w:val="false"/>
          <w:color w:val="000000"/>
          <w:sz w:val="28"/>
        </w:rPr>
        <w:t>
      16. The authorized subdivision shall carry out further assessment of the proposals of potential short-listed external managers according to the Assessment criteria to perform comparative analysis of the proposals of potential short-listed external managers as part of investment and operational due diligence in accordance with Appendix 3 to the Rules. If the total points of potential external managers from the short list are equal, the proposal of a potential external manager from the short list who has agreed to localize his office on the territory of the Astana International Financial Center will have an advantage.</w:t>
      </w:r>
    </w:p>
    <w:p>
      <w:pPr>
        <w:spacing w:after="0"/>
        <w:ind w:left="0"/>
        <w:jc w:val="both"/>
      </w:pPr>
      <w:r>
        <w:rPr>
          <w:rFonts w:ascii="Times New Roman"/>
          <w:b w:val="false"/>
          <w:i w:val="false"/>
          <w:color w:val="000000"/>
          <w:sz w:val="28"/>
        </w:rPr>
        <w:t>
      17. When conducting investment and operational due diligence, in order to obtain additional information on the procedure for making investment decisions and risk control procedures, it shall be allowed for the authorized subdivision to hold meetings with potential external managers and visit their offices.</w:t>
      </w:r>
    </w:p>
    <w:p>
      <w:pPr>
        <w:spacing w:after="0"/>
        <w:ind w:left="0"/>
        <w:jc w:val="both"/>
      </w:pPr>
      <w:r>
        <w:rPr>
          <w:rFonts w:ascii="Times New Roman"/>
          <w:b w:val="false"/>
          <w:i w:val="false"/>
          <w:color w:val="000000"/>
          <w:sz w:val="28"/>
        </w:rPr>
        <w:t>
      18. If a potential external manager, who had not previously had a contractual relationship with the National Bank, is proposed for selection as an external manager, a visit to his office shall be mandatory.</w:t>
      </w:r>
    </w:p>
    <w:p>
      <w:pPr>
        <w:spacing w:after="0"/>
        <w:ind w:left="0"/>
        <w:jc w:val="both"/>
      </w:pPr>
      <w:r>
        <w:rPr>
          <w:rFonts w:ascii="Times New Roman"/>
          <w:b w:val="false"/>
          <w:i w:val="false"/>
          <w:color w:val="000000"/>
          <w:sz w:val="28"/>
        </w:rPr>
        <w:t>
      19. The decision on the selection of external managers shall be made by the Board of the National Bank.</w:t>
      </w:r>
    </w:p>
    <w:p>
      <w:pPr>
        <w:spacing w:after="0"/>
        <w:ind w:left="0"/>
        <w:jc w:val="both"/>
      </w:pPr>
      <w:r>
        <w:rPr>
          <w:rFonts w:ascii="Times New Roman"/>
          <w:b w:val="false"/>
          <w:i w:val="false"/>
          <w:color w:val="000000"/>
          <w:sz w:val="28"/>
        </w:rPr>
        <w:t>
      In cases of transfer to the legal successor of the external manager of the rights and obligations arising from the investment management agreement in connection with the reorganization of this external manager, as well as in cases of transfer by the external manager of his rights and obligations arising from the investment management agreement to another legal entity (company) , the selection of these persons as an external manager shall be carried out without carrying out procedures, stipulated by пунктами 9, 10 и 11 of the Rules.</w:t>
      </w:r>
    </w:p>
    <w:p>
      <w:pPr>
        <w:spacing w:after="0"/>
        <w:ind w:left="0"/>
        <w:jc w:val="both"/>
      </w:pPr>
      <w:r>
        <w:rPr>
          <w:rFonts w:ascii="Times New Roman"/>
          <w:b w:val="false"/>
          <w:i w:val="false"/>
          <w:color w:val="000000"/>
          <w:sz w:val="28"/>
        </w:rPr>
        <w:t>
      20. If an external manager performing external management of a part of the National Bank's gold and foreign exchange assets and (or) and assets held in trust by the National Bank, under a similar mandate with a positive excess return for a period of at least 3 (three) years, meets the requirements for it, when they are instructed to take actions necessary to manage pension assets established by clauses 12 and (or) 13 of the Rules, then, by decision of the Chairman of the National Bank, his candidacy shall be brought to consideration of the Board of the National Bank as an external manager without carrying out procedures, stipulated by clauses 9, 10 и 11 of the Rules.</w:t>
      </w:r>
    </w:p>
    <w:p>
      <w:pPr>
        <w:spacing w:after="0"/>
        <w:ind w:left="0"/>
        <w:jc w:val="both"/>
      </w:pPr>
      <w:r>
        <w:rPr>
          <w:rFonts w:ascii="Times New Roman"/>
          <w:b w:val="false"/>
          <w:i w:val="false"/>
          <w:color w:val="000000"/>
          <w:sz w:val="28"/>
        </w:rPr>
        <w:t>
      21. To reduce the risks of asset concentration in external management within the framework of one mandate (but not one type of management), the number of acting external managers is at least 2 (two) external managers.</w:t>
      </w:r>
    </w:p>
    <w:p>
      <w:pPr>
        <w:spacing w:after="0"/>
        <w:ind w:left="0"/>
        <w:jc w:val="both"/>
      </w:pPr>
      <w:r>
        <w:rPr>
          <w:rFonts w:ascii="Times New Roman"/>
          <w:b w:val="false"/>
          <w:i w:val="false"/>
          <w:color w:val="000000"/>
          <w:sz w:val="28"/>
        </w:rPr>
        <w:t>
      22For the purposes of acceleration the process of selecting external managers, replacement of existing external managers and increase in competition among external managers, the authorized subdivision is allowed forming a reserve list of potential external managers (hereinafter referred to as the reserve list) from among potential external managers from the short list for subsequent approval by the Board of the National Bank.</w:t>
      </w:r>
    </w:p>
    <w:p>
      <w:pPr>
        <w:spacing w:after="0"/>
        <w:ind w:left="0"/>
        <w:jc w:val="both"/>
      </w:pPr>
      <w:r>
        <w:rPr>
          <w:rFonts w:ascii="Times New Roman"/>
          <w:b w:val="false"/>
          <w:i w:val="false"/>
          <w:color w:val="000000"/>
          <w:sz w:val="28"/>
        </w:rPr>
        <w:t>
      The authorized subdivision shall monitor the activities of external managers on the reserve list and updates the information annually as part of investment and operational due diligence.</w:t>
      </w:r>
    </w:p>
    <w:p>
      <w:pPr>
        <w:spacing w:after="0"/>
        <w:ind w:left="0"/>
        <w:jc w:val="both"/>
      </w:pPr>
      <w:r>
        <w:rPr>
          <w:rFonts w:ascii="Times New Roman"/>
          <w:b w:val="false"/>
          <w:i w:val="false"/>
          <w:color w:val="000000"/>
          <w:sz w:val="28"/>
        </w:rPr>
        <w:t>
      The transfer of the pension assets of the Fund to the external manager from the approved reserve list shall be carried out after the Board of the National Bank makes a decision on his choice as an external manager without carrying out procedures, stipulated by clauses 9, 10 and 11 of the Rules.</w:t>
      </w:r>
    </w:p>
    <w:p>
      <w:pPr>
        <w:spacing w:after="0"/>
        <w:ind w:left="0"/>
        <w:jc w:val="both"/>
      </w:pPr>
      <w:r>
        <w:rPr>
          <w:rFonts w:ascii="Times New Roman"/>
          <w:b w:val="false"/>
          <w:i w:val="false"/>
          <w:color w:val="000000"/>
          <w:sz w:val="28"/>
        </w:rPr>
        <w:t>
      23. Activities related to the conclusion of an investment management agreement and further monitoring of the fulfillment of its terms shall be carried out by an authorized subdivision.</w:t>
      </w:r>
    </w:p>
    <w:p>
      <w:pPr>
        <w:spacing w:after="0"/>
        <w:ind w:left="0"/>
        <w:jc w:val="both"/>
      </w:pPr>
      <w:r>
        <w:rPr>
          <w:rFonts w:ascii="Times New Roman"/>
          <w:b w:val="false"/>
          <w:i w:val="false"/>
          <w:color w:val="000000"/>
          <w:sz w:val="28"/>
        </w:rPr>
        <w:t>
      24. The Investment Management Agreement contains the following conditions:</w:t>
      </w:r>
    </w:p>
    <w:p>
      <w:pPr>
        <w:spacing w:after="0"/>
        <w:ind w:left="0"/>
        <w:jc w:val="both"/>
      </w:pPr>
      <w:r>
        <w:rPr>
          <w:rFonts w:ascii="Times New Roman"/>
          <w:b w:val="false"/>
          <w:i w:val="false"/>
          <w:color w:val="000000"/>
          <w:sz w:val="28"/>
        </w:rPr>
        <w:t>
      1) on the existence of the right of the National Bank to early terminate the investment management agreement in the following cases:</w:t>
      </w:r>
    </w:p>
    <w:p>
      <w:pPr>
        <w:spacing w:after="0"/>
        <w:ind w:left="0"/>
        <w:jc w:val="both"/>
      </w:pPr>
      <w:r>
        <w:rPr>
          <w:rFonts w:ascii="Times New Roman"/>
          <w:b w:val="false"/>
          <w:i w:val="false"/>
          <w:color w:val="000000"/>
          <w:sz w:val="28"/>
        </w:rPr>
        <w:t>
      failure by external managers to achieve excess returns on portfolio management in comparison with the reference portfolio;</w:t>
      </w:r>
    </w:p>
    <w:p>
      <w:pPr>
        <w:spacing w:after="0"/>
        <w:ind w:left="0"/>
        <w:jc w:val="both"/>
      </w:pPr>
      <w:r>
        <w:rPr>
          <w:rFonts w:ascii="Times New Roman"/>
          <w:b w:val="false"/>
          <w:i w:val="false"/>
          <w:color w:val="000000"/>
          <w:sz w:val="28"/>
        </w:rPr>
        <w:t>
      violation by the external manager of the restrictions established by the investment declaration of the Fund;</w:t>
      </w:r>
    </w:p>
    <w:p>
      <w:pPr>
        <w:spacing w:after="0"/>
        <w:ind w:left="0"/>
        <w:jc w:val="both"/>
      </w:pPr>
      <w:r>
        <w:rPr>
          <w:rFonts w:ascii="Times New Roman"/>
          <w:b w:val="false"/>
          <w:i w:val="false"/>
          <w:color w:val="000000"/>
          <w:sz w:val="28"/>
        </w:rPr>
        <w:t>
      amendments to the investment declaration of the Fund;</w:t>
      </w:r>
    </w:p>
    <w:p>
      <w:pPr>
        <w:spacing w:after="0"/>
        <w:ind w:left="0"/>
        <w:jc w:val="both"/>
      </w:pPr>
      <w:r>
        <w:rPr>
          <w:rFonts w:ascii="Times New Roman"/>
          <w:b w:val="false"/>
          <w:i w:val="false"/>
          <w:color w:val="000000"/>
          <w:sz w:val="28"/>
        </w:rPr>
        <w:t>
      existence of a resolution of the Board of the National Bank with the submission of a written notice to the external manager and an indication of the date of termination of the investment management agreement;</w:t>
      </w:r>
    </w:p>
    <w:p>
      <w:pPr>
        <w:spacing w:after="0"/>
        <w:ind w:left="0"/>
        <w:jc w:val="both"/>
      </w:pPr>
      <w:r>
        <w:rPr>
          <w:rFonts w:ascii="Times New Roman"/>
          <w:b w:val="false"/>
          <w:i w:val="false"/>
          <w:color w:val="000000"/>
          <w:sz w:val="28"/>
        </w:rPr>
        <w:t>
      2) on the existence of the right of the National Bank at its discretion at any time to replenish (revoke) pension assets of the Fund, which are under external management;</w:t>
      </w:r>
    </w:p>
    <w:p>
      <w:pPr>
        <w:spacing w:after="0"/>
        <w:ind w:left="0"/>
        <w:jc w:val="both"/>
      </w:pPr>
      <w:r>
        <w:rPr>
          <w:rFonts w:ascii="Times New Roman"/>
          <w:b w:val="false"/>
          <w:i w:val="false"/>
          <w:color w:val="000000"/>
          <w:sz w:val="28"/>
        </w:rPr>
        <w:t>
      3) on the provision of information to the external manager on the turnover of his staff responsible for the management of the pension assets of the Fund transferred to external management;</w:t>
      </w:r>
    </w:p>
    <w:p>
      <w:pPr>
        <w:spacing w:after="0"/>
        <w:ind w:left="0"/>
        <w:jc w:val="both"/>
      </w:pPr>
      <w:r>
        <w:rPr>
          <w:rFonts w:ascii="Times New Roman"/>
          <w:b w:val="false"/>
          <w:i w:val="false"/>
          <w:color w:val="000000"/>
          <w:sz w:val="28"/>
        </w:rPr>
        <w:t>
      4) on visits to the external manager by employees of the National Bank and independent auditors for the purpose of verifying account transactions, as well as obtaining additional information about the external manager, the procedure for making investment decisions and risk monitoring procedures;</w:t>
      </w:r>
    </w:p>
    <w:p>
      <w:pPr>
        <w:spacing w:after="0"/>
        <w:ind w:left="0"/>
        <w:jc w:val="both"/>
      </w:pPr>
      <w:r>
        <w:rPr>
          <w:rFonts w:ascii="Times New Roman"/>
          <w:b w:val="false"/>
          <w:i w:val="false"/>
          <w:color w:val="000000"/>
          <w:sz w:val="28"/>
        </w:rPr>
        <w:t>
      5) on the prohibition of attracting as brokers or counter-partners in transactions with of the pension assets of the Fund transferred to external management, affiliated with an external manager;</w:t>
      </w:r>
    </w:p>
    <w:p>
      <w:pPr>
        <w:spacing w:after="0"/>
        <w:ind w:left="0"/>
        <w:jc w:val="both"/>
      </w:pPr>
      <w:r>
        <w:rPr>
          <w:rFonts w:ascii="Times New Roman"/>
          <w:b w:val="false"/>
          <w:i w:val="false"/>
          <w:color w:val="000000"/>
          <w:sz w:val="28"/>
        </w:rPr>
        <w:t>
      6) on the responsibility of the external manager for violation of the limit of the expected variability of the deviation of returns (ex-ante tracking error) established in the investment management agreement;</w:t>
      </w:r>
    </w:p>
    <w:p>
      <w:pPr>
        <w:spacing w:after="0"/>
        <w:ind w:left="0"/>
        <w:jc w:val="both"/>
      </w:pPr>
      <w:r>
        <w:rPr>
          <w:rFonts w:ascii="Times New Roman"/>
          <w:b w:val="false"/>
          <w:i w:val="false"/>
          <w:color w:val="000000"/>
          <w:sz w:val="28"/>
        </w:rPr>
        <w:t>
      7) on the liability of the external manager for possible losses caused to the Fund as a result of negligence, deliberate default or fraud on the part of the external manager;</w:t>
      </w:r>
    </w:p>
    <w:p>
      <w:pPr>
        <w:spacing w:after="0"/>
        <w:ind w:left="0"/>
        <w:jc w:val="both"/>
      </w:pPr>
      <w:r>
        <w:rPr>
          <w:rFonts w:ascii="Times New Roman"/>
          <w:b w:val="false"/>
          <w:i w:val="false"/>
          <w:color w:val="000000"/>
          <w:sz w:val="28"/>
        </w:rPr>
        <w:t>
      8) on the obligation of the external manager to advise, train or conduct an internship for the employees of the National Bank who manage and monitor the pension assets of the Fund;</w:t>
      </w:r>
    </w:p>
    <w:p>
      <w:pPr>
        <w:spacing w:after="0"/>
        <w:ind w:left="0"/>
        <w:jc w:val="both"/>
      </w:pPr>
      <w:r>
        <w:rPr>
          <w:rFonts w:ascii="Times New Roman"/>
          <w:b w:val="false"/>
          <w:i w:val="false"/>
          <w:color w:val="000000"/>
          <w:sz w:val="28"/>
        </w:rPr>
        <w:t>
      9) on the obligation of the external manager to submit to the National Bank on a regular basis in accordance with the agreement on investment management of the following reporting:</w:t>
      </w:r>
    </w:p>
    <w:p>
      <w:pPr>
        <w:spacing w:after="0"/>
        <w:ind w:left="0"/>
        <w:jc w:val="both"/>
      </w:pPr>
      <w:r>
        <w:rPr>
          <w:rFonts w:ascii="Times New Roman"/>
          <w:b w:val="false"/>
          <w:i w:val="false"/>
          <w:color w:val="000000"/>
          <w:sz w:val="28"/>
        </w:rPr>
        <w:t>
      reporting on transactions performed for the previous working day on a daily basis;</w:t>
      </w:r>
    </w:p>
    <w:p>
      <w:pPr>
        <w:spacing w:after="0"/>
        <w:ind w:left="0"/>
        <w:jc w:val="both"/>
      </w:pPr>
      <w:r>
        <w:rPr>
          <w:rFonts w:ascii="Times New Roman"/>
          <w:b w:val="false"/>
          <w:i w:val="false"/>
          <w:color w:val="000000"/>
          <w:sz w:val="28"/>
        </w:rPr>
        <w:t>
      portfolio assessment (distribution of assets by different classes and types of currencies, portfolio composition at the end of the reporting month, market value of assets at the end of the reporting month);</w:t>
      </w:r>
    </w:p>
    <w:p>
      <w:pPr>
        <w:spacing w:after="0"/>
        <w:ind w:left="0"/>
        <w:jc w:val="both"/>
      </w:pPr>
      <w:r>
        <w:rPr>
          <w:rFonts w:ascii="Times New Roman"/>
          <w:b w:val="false"/>
          <w:i w:val="false"/>
          <w:color w:val="000000"/>
          <w:sz w:val="28"/>
        </w:rPr>
        <w:t>
      turnovers in the portfolio (a list of all transactions concluded for the reporting quarter, sorted by different classes and currencies, maturity, dividend payment and accrued interest);</w:t>
      </w:r>
    </w:p>
    <w:p>
      <w:pPr>
        <w:spacing w:after="0"/>
        <w:ind w:left="0"/>
        <w:jc w:val="both"/>
      </w:pPr>
      <w:r>
        <w:rPr>
          <w:rFonts w:ascii="Times New Roman"/>
          <w:b w:val="false"/>
          <w:i w:val="false"/>
          <w:color w:val="000000"/>
          <w:sz w:val="28"/>
        </w:rPr>
        <w:t>
      analysis of portfolio management results (monthly, quarterly and overall portfolio management results in the context of achieved profitability, portfolio risk indicators and the level of variability of the tracking error in comparison with the reference portfolio);</w:t>
      </w:r>
    </w:p>
    <w:p>
      <w:pPr>
        <w:spacing w:after="0"/>
        <w:ind w:left="0"/>
        <w:jc w:val="both"/>
      </w:pPr>
      <w:r>
        <w:rPr>
          <w:rFonts w:ascii="Times New Roman"/>
          <w:b w:val="false"/>
          <w:i w:val="false"/>
          <w:color w:val="000000"/>
          <w:sz w:val="28"/>
        </w:rPr>
        <w:t>
      a report on the state of the respective markets and their impact on the portfolio and (or) a macroeconomic review;</w:t>
      </w:r>
    </w:p>
    <w:p>
      <w:pPr>
        <w:spacing w:after="0"/>
        <w:ind w:left="0"/>
        <w:jc w:val="both"/>
      </w:pPr>
      <w:r>
        <w:rPr>
          <w:rFonts w:ascii="Times New Roman"/>
          <w:b w:val="false"/>
          <w:i w:val="false"/>
          <w:color w:val="000000"/>
          <w:sz w:val="28"/>
        </w:rPr>
        <w:t>
      a review of the strategy and an explanation of the most important changes in the portfolio structure;</w:t>
      </w:r>
    </w:p>
    <w:p>
      <w:pPr>
        <w:spacing w:after="0"/>
        <w:ind w:left="0"/>
        <w:jc w:val="both"/>
      </w:pPr>
      <w:r>
        <w:rPr>
          <w:rFonts w:ascii="Times New Roman"/>
          <w:b w:val="false"/>
          <w:i w:val="false"/>
          <w:color w:val="000000"/>
          <w:sz w:val="28"/>
        </w:rPr>
        <w:t>
      current investment strategy;</w:t>
      </w:r>
    </w:p>
    <w:p>
      <w:pPr>
        <w:spacing w:after="0"/>
        <w:ind w:left="0"/>
        <w:jc w:val="both"/>
      </w:pPr>
      <w:r>
        <w:rPr>
          <w:rFonts w:ascii="Times New Roman"/>
          <w:b w:val="false"/>
          <w:i w:val="false"/>
          <w:color w:val="000000"/>
          <w:sz w:val="28"/>
        </w:rPr>
        <w:t>
      the contribution of various factors to the portfolio return for active asset management;</w:t>
      </w:r>
    </w:p>
    <w:p>
      <w:pPr>
        <w:spacing w:after="0"/>
        <w:ind w:left="0"/>
        <w:jc w:val="both"/>
      </w:pPr>
      <w:r>
        <w:rPr>
          <w:rFonts w:ascii="Times New Roman"/>
          <w:b w:val="false"/>
          <w:i w:val="false"/>
          <w:color w:val="000000"/>
          <w:sz w:val="28"/>
        </w:rPr>
        <w:t>
      10) on the implementation by the external manager at the end of each month or on the date of the end of the transit period, the reconciliation of the composition of the portfolio transferred to external management with the data of the bank (banks)-custodian (custodians) in accordance with the investment management agreement;</w:t>
      </w:r>
    </w:p>
    <w:p>
      <w:pPr>
        <w:spacing w:after="0"/>
        <w:ind w:left="0"/>
        <w:jc w:val="both"/>
      </w:pPr>
      <w:r>
        <w:rPr>
          <w:rFonts w:ascii="Times New Roman"/>
          <w:b w:val="false"/>
          <w:i w:val="false"/>
          <w:color w:val="000000"/>
          <w:sz w:val="28"/>
        </w:rPr>
        <w:t>
      11) on the submission by the external manager of information on the operations performed to the custodian bank responsible for the consolidated accounting, no later than the next working day after the approval and completion of the procedures for confirming transactions between the external manager and the broker;</w:t>
      </w:r>
    </w:p>
    <w:p>
      <w:pPr>
        <w:spacing w:after="0"/>
        <w:ind w:left="0"/>
        <w:jc w:val="both"/>
      </w:pPr>
      <w:r>
        <w:rPr>
          <w:rFonts w:ascii="Times New Roman"/>
          <w:b w:val="false"/>
          <w:i w:val="false"/>
          <w:color w:val="000000"/>
          <w:sz w:val="28"/>
        </w:rPr>
        <w:t>
      12) on the submission of information by the external manager, documents on the approval procedures for brokers, as well as agents and counter-partners of the external manager;</w:t>
      </w:r>
    </w:p>
    <w:p>
      <w:pPr>
        <w:spacing w:after="0"/>
        <w:ind w:left="0"/>
        <w:jc w:val="both"/>
      </w:pPr>
      <w:r>
        <w:rPr>
          <w:rFonts w:ascii="Times New Roman"/>
          <w:b w:val="false"/>
          <w:i w:val="false"/>
          <w:color w:val="000000"/>
          <w:sz w:val="28"/>
        </w:rPr>
        <w:t>
      13) on providing external managers with information about the existence of internal policies and procedures for managing the risks of the external manager, which reduce the risk of abuse and conflicts of interest, including ensuring an equitable distribution of transactions among client portfolios;</w:t>
      </w:r>
    </w:p>
    <w:p>
      <w:pPr>
        <w:spacing w:after="0"/>
        <w:ind w:left="0"/>
        <w:jc w:val="both"/>
      </w:pPr>
      <w:r>
        <w:rPr>
          <w:rFonts w:ascii="Times New Roman"/>
          <w:b w:val="false"/>
          <w:i w:val="false"/>
          <w:color w:val="000000"/>
          <w:sz w:val="28"/>
        </w:rPr>
        <w:t>
      14) on the holding of meetings by the external manager with a frequency of once a year with the authorized division to present the results of the management of the pension assets of the Fund, on compliance with investment restrictions, assessment of the market situation and its possible impact on the portfolio and on the implementation of investment transactions with of the pension assets of the Fund;</w:t>
      </w:r>
    </w:p>
    <w:p>
      <w:pPr>
        <w:spacing w:after="0"/>
        <w:ind w:left="0"/>
        <w:jc w:val="both"/>
      </w:pPr>
      <w:r>
        <w:rPr>
          <w:rFonts w:ascii="Times New Roman"/>
          <w:b w:val="false"/>
          <w:i w:val="false"/>
          <w:color w:val="000000"/>
          <w:sz w:val="28"/>
        </w:rPr>
        <w:t>
      15) on the submission of information by external managers on the measures applied by the supervisory authorities and participation in court proceedings;</w:t>
      </w:r>
    </w:p>
    <w:p>
      <w:pPr>
        <w:spacing w:after="0"/>
        <w:ind w:left="0"/>
        <w:jc w:val="both"/>
      </w:pPr>
      <w:r>
        <w:rPr>
          <w:rFonts w:ascii="Times New Roman"/>
          <w:b w:val="false"/>
          <w:i w:val="false"/>
          <w:color w:val="000000"/>
          <w:sz w:val="28"/>
        </w:rPr>
        <w:t>
      16) on the submission by the external manager to the National Bank of the complete reporting on the portfolio verified with the bank (banks)-custodian (custodians) as of the date of termination of the investment management agreement;</w:t>
      </w:r>
    </w:p>
    <w:p>
      <w:pPr>
        <w:spacing w:after="0"/>
        <w:ind w:left="0"/>
        <w:jc w:val="both"/>
      </w:pPr>
      <w:r>
        <w:rPr>
          <w:rFonts w:ascii="Times New Roman"/>
          <w:b w:val="false"/>
          <w:i w:val="false"/>
          <w:color w:val="000000"/>
          <w:sz w:val="28"/>
        </w:rPr>
        <w:t>
      17) on signing an agreement on investment management in the Kazakh, Russian languages and in a language determined by agreement of the parties;</w:t>
      </w:r>
    </w:p>
    <w:p>
      <w:pPr>
        <w:spacing w:after="0"/>
        <w:ind w:left="0"/>
        <w:jc w:val="both"/>
      </w:pPr>
      <w:r>
        <w:rPr>
          <w:rFonts w:ascii="Times New Roman"/>
          <w:b w:val="false"/>
          <w:i w:val="false"/>
          <w:color w:val="000000"/>
          <w:sz w:val="28"/>
        </w:rPr>
        <w:t>
      18) on the possibility of making amendments and (or) additions to the investment management agreement with the written consent of both parties.</w:t>
      </w:r>
    </w:p>
    <w:p>
      <w:pPr>
        <w:spacing w:after="0"/>
        <w:ind w:left="0"/>
        <w:jc w:val="both"/>
      </w:pPr>
      <w:r>
        <w:rPr>
          <w:rFonts w:ascii="Times New Roman"/>
          <w:b w:val="false"/>
          <w:i w:val="false"/>
          <w:color w:val="000000"/>
          <w:sz w:val="28"/>
        </w:rPr>
        <w:t>
      25. The National Bank, in accordance with the investment management agreement, shall transfer the pension assets of the Fund to external management by transferring money and (or) securities to the accounts of the National Bank with the bank (banks)-custodian (custodians) intended for external management.</w:t>
      </w:r>
    </w:p>
    <w:p>
      <w:pPr>
        <w:spacing w:after="0"/>
        <w:ind w:left="0"/>
        <w:jc w:val="both"/>
      </w:pPr>
      <w:r>
        <w:rPr>
          <w:rFonts w:ascii="Times New Roman"/>
          <w:b w:val="false"/>
          <w:i w:val="false"/>
          <w:color w:val="000000"/>
          <w:sz w:val="28"/>
        </w:rPr>
        <w:t>
      26. When transferring the pension assets of the Fund to external management, the transit period shall be taken into account for the formation of the portfolio in accordance with the target parameters established by the investment management agreement. The duration of the transit period does not exceed 15 (fifteen) working days.</w:t>
      </w:r>
    </w:p>
    <w:p>
      <w:pPr>
        <w:spacing w:after="0"/>
        <w:ind w:left="0"/>
        <w:jc w:val="both"/>
      </w:pPr>
      <w:r>
        <w:rPr>
          <w:rFonts w:ascii="Times New Roman"/>
          <w:b w:val="false"/>
          <w:i w:val="false"/>
          <w:color w:val="000000"/>
          <w:sz w:val="28"/>
        </w:rPr>
        <w:t>
      27. The pension assets of the Fund transferred to external management shall be kept on the accounts of the National Bank with the bank (banks)-custodian (custodians) and on a margin account with a clearing broker.</w:t>
      </w:r>
    </w:p>
    <w:p>
      <w:pPr>
        <w:spacing w:after="0"/>
        <w:ind w:left="0"/>
        <w:jc w:val="both"/>
      </w:pPr>
      <w:r>
        <w:rPr>
          <w:rFonts w:ascii="Times New Roman"/>
          <w:b w:val="false"/>
          <w:i w:val="false"/>
          <w:color w:val="000000"/>
          <w:sz w:val="28"/>
        </w:rPr>
        <w:t>
      28. From the day of the transfer of the pension assets of the Fund to the external management, the authorized subdivision shall conduct daily monitoring of the activities of the external manager by checking compliance with the restrictions established in the investment management agreement, monitoring transactions made by the external manager, assessing the risk and return indicators of the portfolio in the external management.</w:t>
      </w:r>
    </w:p>
    <w:p>
      <w:pPr>
        <w:spacing w:after="0"/>
        <w:ind w:left="0"/>
        <w:jc w:val="both"/>
      </w:pPr>
      <w:r>
        <w:rPr>
          <w:rFonts w:ascii="Times New Roman"/>
          <w:b w:val="false"/>
          <w:i w:val="false"/>
          <w:color w:val="000000"/>
          <w:sz w:val="28"/>
        </w:rPr>
        <w:t>
      29. The authorized subdivision in accordance with the investment management agreement, at least once a year, meets with the external manager or organizes a video or teleconference at which the external manager reports on the results of management, compliance with investment restrictions, assesses the market situation and its possible impact for the portfolio and for investment operations with the pension assets of the Fund.</w:t>
      </w:r>
    </w:p>
    <w:p>
      <w:pPr>
        <w:spacing w:after="0"/>
        <w:ind w:left="0"/>
        <w:jc w:val="both"/>
      </w:pPr>
      <w:r>
        <w:rPr>
          <w:rFonts w:ascii="Times New Roman"/>
          <w:b w:val="false"/>
          <w:i w:val="false"/>
          <w:color w:val="000000"/>
          <w:sz w:val="28"/>
        </w:rPr>
        <w:t>
      30. Assessment of effectiveness of work of current external managers shall be carried out based on the methodology of assessment of effectiveness of work of an external manager, provided for in Appendix 4 to the Rules. By results of conducted assessment of effectiveness of work of an external manager as a whole and by classes of assets over the last 3 (three), 5 (five) years and more from the date of commencement of management, taking into account the charged commission, the management of the National Bank shall make an appropriate decision on the replenishment (withdrawal) of the pension assets of the Fund or continuation (termination) of work with this external manager, or bringing this issue to the consideration of the Board of the National Bank.</w:t>
      </w:r>
    </w:p>
    <w:p>
      <w:pPr>
        <w:spacing w:after="0"/>
        <w:ind w:left="0"/>
        <w:jc w:val="both"/>
      </w:pPr>
      <w:r>
        <w:rPr>
          <w:rFonts w:ascii="Times New Roman"/>
          <w:b w:val="false"/>
          <w:i w:val="false"/>
          <w:color w:val="000000"/>
          <w:sz w:val="28"/>
        </w:rPr>
        <w:t>
      31. By decision of the management of the National Bank, the withdrawal of the pension assets of the Fund or early termination of the investment management agreement shall be carried out without the procedure specified in clause 30 of the Rules.</w:t>
      </w:r>
    </w:p>
    <w:p>
      <w:pPr>
        <w:spacing w:after="0"/>
        <w:ind w:left="0"/>
        <w:jc w:val="both"/>
      </w:pPr>
      <w:r>
        <w:rPr>
          <w:rFonts w:ascii="Times New Roman"/>
          <w:b w:val="false"/>
          <w:i w:val="false"/>
          <w:color w:val="000000"/>
          <w:sz w:val="28"/>
        </w:rPr>
        <w:t>
      32. The report on the results of the management of external managers shall be submitted by the authorized subdivision for the consideration of the Board of the National Bank at least once a year.</w:t>
      </w:r>
    </w:p>
    <w:p>
      <w:pPr>
        <w:spacing w:after="0"/>
        <w:ind w:left="0"/>
        <w:jc w:val="left"/>
      </w:pPr>
      <w:r>
        <w:rPr>
          <w:rFonts w:ascii="Times New Roman"/>
          <w:b/>
          <w:i w:val="false"/>
          <w:color w:val="000000"/>
        </w:rPr>
        <w:t xml:space="preserve"> Chapter 3. Procedure for selecting an external transit manager of the pension assets of the Fund, including the requirements thereto, when they are instructed to take actions required for the management of the pension assets of the Fund</w:t>
      </w:r>
    </w:p>
    <w:p>
      <w:pPr>
        <w:spacing w:after="0"/>
        <w:ind w:left="0"/>
        <w:jc w:val="both"/>
      </w:pPr>
      <w:r>
        <w:rPr>
          <w:rFonts w:ascii="Times New Roman"/>
          <w:b w:val="false"/>
          <w:i w:val="false"/>
          <w:color w:val="000000"/>
          <w:sz w:val="28"/>
        </w:rPr>
        <w:t>
      33. To select an external transit manager, the authorized subdivision shall send a request to potential transit managers to provide information on coverage markets, transit management strategies and service costs by classes of instruments and markets, and analyzes the proposals received.</w:t>
      </w:r>
    </w:p>
    <w:p>
      <w:pPr>
        <w:spacing w:after="0"/>
        <w:ind w:left="0"/>
        <w:jc w:val="both"/>
      </w:pPr>
      <w:r>
        <w:rPr>
          <w:rFonts w:ascii="Times New Roman"/>
          <w:b w:val="false"/>
          <w:i w:val="false"/>
          <w:color w:val="000000"/>
          <w:sz w:val="28"/>
        </w:rPr>
        <w:t>
      34. To select an external transit manager, a mandatory requirement for him, when instructing him to perform actions necessary to manage pension assets, is the experience of transit management of portfolios of financial instruments that are subject to transit management - at least 5 (five) years.</w:t>
      </w:r>
    </w:p>
    <w:p>
      <w:pPr>
        <w:spacing w:after="0"/>
        <w:ind w:left="0"/>
        <w:jc w:val="both"/>
      </w:pPr>
      <w:r>
        <w:rPr>
          <w:rFonts w:ascii="Times New Roman"/>
          <w:b w:val="false"/>
          <w:i w:val="false"/>
          <w:color w:val="000000"/>
          <w:sz w:val="28"/>
        </w:rPr>
        <w:t>
      Decision on selection of the external transit manager shall be made by the Chairman of the National Bank.</w:t>
      </w:r>
    </w:p>
    <w:p>
      <w:pPr>
        <w:spacing w:after="0"/>
        <w:ind w:left="0"/>
        <w:jc w:val="both"/>
      </w:pPr>
      <w:r>
        <w:rPr>
          <w:rFonts w:ascii="Times New Roman"/>
          <w:b w:val="false"/>
          <w:i w:val="false"/>
          <w:color w:val="000000"/>
          <w:sz w:val="28"/>
        </w:rPr>
        <w:t>
      35. Activities related to the conclusion of an investment management agreement and further monitoring of the fulfillment of its terms shall be carried out by the authorized subdivision.</w:t>
      </w:r>
    </w:p>
    <w:p>
      <w:pPr>
        <w:spacing w:after="0"/>
        <w:ind w:left="0"/>
        <w:jc w:val="both"/>
      </w:pPr>
      <w:r>
        <w:rPr>
          <w:rFonts w:ascii="Times New Roman"/>
          <w:b w:val="false"/>
          <w:i w:val="false"/>
          <w:color w:val="000000"/>
          <w:sz w:val="28"/>
        </w:rPr>
        <w:t>
      36. The Investment Management Agreement contains the following terms:</w:t>
      </w:r>
    </w:p>
    <w:p>
      <w:pPr>
        <w:spacing w:after="0"/>
        <w:ind w:left="0"/>
        <w:jc w:val="both"/>
      </w:pPr>
      <w:r>
        <w:rPr>
          <w:rFonts w:ascii="Times New Roman"/>
          <w:b w:val="false"/>
          <w:i w:val="false"/>
          <w:color w:val="000000"/>
          <w:sz w:val="28"/>
        </w:rPr>
        <w:t>
      1) on the existence of the right of the National Bank to early terminate the investment management agreement in the following cases:</w:t>
      </w:r>
    </w:p>
    <w:p>
      <w:pPr>
        <w:spacing w:after="0"/>
        <w:ind w:left="0"/>
        <w:jc w:val="both"/>
      </w:pPr>
      <w:r>
        <w:rPr>
          <w:rFonts w:ascii="Times New Roman"/>
          <w:b w:val="false"/>
          <w:i w:val="false"/>
          <w:color w:val="000000"/>
          <w:sz w:val="28"/>
        </w:rPr>
        <w:t>
      violation by the external transit manager of the terms of the investment management agreement;</w:t>
      </w:r>
    </w:p>
    <w:p>
      <w:pPr>
        <w:spacing w:after="0"/>
        <w:ind w:left="0"/>
        <w:jc w:val="both"/>
      </w:pPr>
      <w:r>
        <w:rPr>
          <w:rFonts w:ascii="Times New Roman"/>
          <w:b w:val="false"/>
          <w:i w:val="false"/>
          <w:color w:val="000000"/>
          <w:sz w:val="28"/>
        </w:rPr>
        <w:t>
      decisions of the Chairman of the National Bank;</w:t>
      </w:r>
    </w:p>
    <w:p>
      <w:pPr>
        <w:spacing w:after="0"/>
        <w:ind w:left="0"/>
        <w:jc w:val="both"/>
      </w:pPr>
      <w:r>
        <w:rPr>
          <w:rFonts w:ascii="Times New Roman"/>
          <w:b w:val="false"/>
          <w:i w:val="false"/>
          <w:color w:val="000000"/>
          <w:sz w:val="28"/>
        </w:rPr>
        <w:t>
      2) on the existence of the right of the National Bank, at its discretion, at any time, replenish (revoke) pension assets of the Fund under external transit management, if such actions do not affect any outstanding external transit management of the pension assets of the Fund;</w:t>
      </w:r>
    </w:p>
    <w:p>
      <w:pPr>
        <w:spacing w:after="0"/>
        <w:ind w:left="0"/>
        <w:jc w:val="both"/>
      </w:pPr>
      <w:r>
        <w:rPr>
          <w:rFonts w:ascii="Times New Roman"/>
          <w:b w:val="false"/>
          <w:i w:val="false"/>
          <w:color w:val="000000"/>
          <w:sz w:val="28"/>
        </w:rPr>
        <w:t>
      3) on the provision of information by the external transit manager on the turnover of his staff responsible for the management of the pension assets of the Fund transferred to external transit management;</w:t>
      </w:r>
    </w:p>
    <w:p>
      <w:pPr>
        <w:spacing w:after="0"/>
        <w:ind w:left="0"/>
        <w:jc w:val="both"/>
      </w:pPr>
      <w:r>
        <w:rPr>
          <w:rFonts w:ascii="Times New Roman"/>
          <w:b w:val="false"/>
          <w:i w:val="false"/>
          <w:color w:val="000000"/>
          <w:sz w:val="28"/>
        </w:rPr>
        <w:t>
      4) on visits to the external transit manager by employees of the National Bank and independent auditors for the purpose of verifying account transactions, as well as obtaining additional information on the external transit manager, the procedure for making investment decisions and risk monitoring procedures;</w:t>
      </w:r>
    </w:p>
    <w:p>
      <w:pPr>
        <w:spacing w:after="0"/>
        <w:ind w:left="0"/>
        <w:jc w:val="both"/>
      </w:pPr>
      <w:r>
        <w:rPr>
          <w:rFonts w:ascii="Times New Roman"/>
          <w:b w:val="false"/>
          <w:i w:val="false"/>
          <w:color w:val="000000"/>
          <w:sz w:val="28"/>
        </w:rPr>
        <w:t>
      5) on the liability of the external transit manager for possible losses caused as a result of negligence, willful default or fraud on the part of the external transit manager;</w:t>
      </w:r>
    </w:p>
    <w:p>
      <w:pPr>
        <w:spacing w:after="0"/>
        <w:ind w:left="0"/>
        <w:jc w:val="both"/>
      </w:pPr>
      <w:r>
        <w:rPr>
          <w:rFonts w:ascii="Times New Roman"/>
          <w:b w:val="false"/>
          <w:i w:val="false"/>
          <w:color w:val="000000"/>
          <w:sz w:val="28"/>
        </w:rPr>
        <w:t>
      6) on the submission by the external transit manager of information on the operations performed to the custodian bank responsible for the consolidated accounting, no later than the next working day after the approval and completion of the procedures for confirming transactions between the external transit manager and the broker;</w:t>
      </w:r>
    </w:p>
    <w:p>
      <w:pPr>
        <w:spacing w:after="0"/>
        <w:ind w:left="0"/>
        <w:jc w:val="both"/>
      </w:pPr>
      <w:r>
        <w:rPr>
          <w:rFonts w:ascii="Times New Roman"/>
          <w:b w:val="false"/>
          <w:i w:val="false"/>
          <w:color w:val="000000"/>
          <w:sz w:val="28"/>
        </w:rPr>
        <w:t>
      7) on the submission of information by the external transit manager, documents on the approval procedures for brokers, as well as agents and counterparties of the external transit manager;</w:t>
      </w:r>
    </w:p>
    <w:p>
      <w:pPr>
        <w:spacing w:after="0"/>
        <w:ind w:left="0"/>
        <w:jc w:val="both"/>
      </w:pPr>
      <w:r>
        <w:rPr>
          <w:rFonts w:ascii="Times New Roman"/>
          <w:b w:val="false"/>
          <w:i w:val="false"/>
          <w:color w:val="000000"/>
          <w:sz w:val="28"/>
        </w:rPr>
        <w:t>
      8) on the provision of information to external transit managers on the existence of internal policies and procedures for managing risks of the external transit manager, which reduce the risk of abuse and conflict of interest, including ensuring an equitable distribution of transactions among client portfolios;</w:t>
      </w:r>
    </w:p>
    <w:p>
      <w:pPr>
        <w:spacing w:after="0"/>
        <w:ind w:left="0"/>
        <w:jc w:val="both"/>
      </w:pPr>
      <w:r>
        <w:rPr>
          <w:rFonts w:ascii="Times New Roman"/>
          <w:b w:val="false"/>
          <w:i w:val="false"/>
          <w:color w:val="000000"/>
          <w:sz w:val="28"/>
        </w:rPr>
        <w:t>
      9) on the obligation of the external transit manager to submit to the National Bank in accordance with the investment management agreement within 10 (ten) business days after the end of the transit period of the following reporting:</w:t>
      </w:r>
    </w:p>
    <w:p>
      <w:pPr>
        <w:spacing w:after="0"/>
        <w:ind w:left="0"/>
        <w:jc w:val="both"/>
      </w:pPr>
      <w:r>
        <w:rPr>
          <w:rFonts w:ascii="Times New Roman"/>
          <w:b w:val="false"/>
          <w:i w:val="false"/>
          <w:color w:val="000000"/>
          <w:sz w:val="28"/>
        </w:rPr>
        <w:t>
      reporting on all securities transactions performed by an external transit manager and its affiliated brokers (dealers) and futures brokers during the transit period;</w:t>
      </w:r>
    </w:p>
    <w:p>
      <w:pPr>
        <w:spacing w:after="0"/>
        <w:ind w:left="0"/>
        <w:jc w:val="both"/>
      </w:pPr>
      <w:r>
        <w:rPr>
          <w:rFonts w:ascii="Times New Roman"/>
          <w:b w:val="false"/>
          <w:i w:val="false"/>
          <w:color w:val="000000"/>
          <w:sz w:val="28"/>
        </w:rPr>
        <w:t>
      a report on the results of the external transit of the management of the pension assets of the Fund, including the difference in the transaction execution cost, brokers' commission, market influence, the difference in currency buying and selling rates on forex operations, taxes and lost profits at the date of the end of the transit period;</w:t>
      </w:r>
    </w:p>
    <w:p>
      <w:pPr>
        <w:spacing w:after="0"/>
        <w:ind w:left="0"/>
        <w:jc w:val="both"/>
      </w:pPr>
      <w:r>
        <w:rPr>
          <w:rFonts w:ascii="Times New Roman"/>
          <w:b w:val="false"/>
          <w:i w:val="false"/>
          <w:color w:val="000000"/>
          <w:sz w:val="28"/>
        </w:rPr>
        <w:t>
      report on the state of the respective markets and their impact on the portfolio;</w:t>
      </w:r>
    </w:p>
    <w:p>
      <w:pPr>
        <w:spacing w:after="0"/>
        <w:ind w:left="0"/>
        <w:jc w:val="both"/>
      </w:pPr>
      <w:r>
        <w:rPr>
          <w:rFonts w:ascii="Times New Roman"/>
          <w:b w:val="false"/>
          <w:i w:val="false"/>
          <w:color w:val="000000"/>
          <w:sz w:val="28"/>
        </w:rPr>
        <w:t>
      a review of the strategy and an explanation of the most important changes in the portfolio structure;</w:t>
      </w:r>
    </w:p>
    <w:p>
      <w:pPr>
        <w:spacing w:after="0"/>
        <w:ind w:left="0"/>
        <w:jc w:val="both"/>
      </w:pPr>
      <w:r>
        <w:rPr>
          <w:rFonts w:ascii="Times New Roman"/>
          <w:b w:val="false"/>
          <w:i w:val="false"/>
          <w:color w:val="000000"/>
          <w:sz w:val="28"/>
        </w:rPr>
        <w:t>
      10) on the submission of information by external transit managers on the measures applied by the supervisory authorities and participation in court proceedings;</w:t>
      </w:r>
    </w:p>
    <w:p>
      <w:pPr>
        <w:spacing w:after="0"/>
        <w:ind w:left="0"/>
        <w:jc w:val="both"/>
      </w:pPr>
      <w:r>
        <w:rPr>
          <w:rFonts w:ascii="Times New Roman"/>
          <w:b w:val="false"/>
          <w:i w:val="false"/>
          <w:color w:val="000000"/>
          <w:sz w:val="28"/>
        </w:rPr>
        <w:t>
      11) on the submission by the external transit manager at the end of the transit period, of full reporting, verified with the bank (banks)-custodian (custodians), on the portfolio as of the date of completion of the transit period in accordance with the investment management agreement;</w:t>
      </w:r>
    </w:p>
    <w:p>
      <w:pPr>
        <w:spacing w:after="0"/>
        <w:ind w:left="0"/>
        <w:jc w:val="both"/>
      </w:pPr>
      <w:r>
        <w:rPr>
          <w:rFonts w:ascii="Times New Roman"/>
          <w:b w:val="false"/>
          <w:i w:val="false"/>
          <w:color w:val="000000"/>
          <w:sz w:val="28"/>
        </w:rPr>
        <w:t>
      12) on the signing of an agreement on investment management in the Kazakh, Russian languages and in a language determined by agreement of the parties;</w:t>
      </w:r>
    </w:p>
    <w:p>
      <w:pPr>
        <w:spacing w:after="0"/>
        <w:ind w:left="0"/>
        <w:jc w:val="both"/>
      </w:pPr>
      <w:r>
        <w:rPr>
          <w:rFonts w:ascii="Times New Roman"/>
          <w:b w:val="false"/>
          <w:i w:val="false"/>
          <w:color w:val="000000"/>
          <w:sz w:val="28"/>
        </w:rPr>
        <w:t>
      13) on the possibility of making amendments and (or) additions to the investment management agreement with the written consent of both parties.</w:t>
      </w:r>
    </w:p>
    <w:p>
      <w:pPr>
        <w:spacing w:after="0"/>
        <w:ind w:left="0"/>
        <w:jc w:val="both"/>
      </w:pPr>
      <w:r>
        <w:rPr>
          <w:rFonts w:ascii="Times New Roman"/>
          <w:b w:val="false"/>
          <w:i w:val="false"/>
          <w:color w:val="000000"/>
          <w:sz w:val="28"/>
        </w:rPr>
        <w:t>
      37. The National Bank, in accordance with the investment management agreement, shall transfer the pension assets of the Fund to external transit management by transferring money and (or) securities to the accounts of the National Bank with the bank (banks)-custodian (custodians), intended for external transit management.</w:t>
      </w:r>
    </w:p>
    <w:p>
      <w:pPr>
        <w:spacing w:after="0"/>
        <w:ind w:left="0"/>
        <w:jc w:val="both"/>
      </w:pPr>
      <w:r>
        <w:rPr>
          <w:rFonts w:ascii="Times New Roman"/>
          <w:b w:val="false"/>
          <w:i w:val="false"/>
          <w:color w:val="000000"/>
          <w:sz w:val="28"/>
        </w:rPr>
        <w:t>
      The transfer of the pension assets of the Fund to an external transit manager shall be carried out for a period not exceeding 12 (twelve) months.</w:t>
      </w:r>
    </w:p>
    <w:p>
      <w:pPr>
        <w:spacing w:after="0"/>
        <w:ind w:left="0"/>
        <w:jc w:val="both"/>
      </w:pPr>
      <w:r>
        <w:rPr>
          <w:rFonts w:ascii="Times New Roman"/>
          <w:b w:val="false"/>
          <w:i w:val="false"/>
          <w:color w:val="000000"/>
          <w:sz w:val="28"/>
        </w:rPr>
        <w:t>
      38. When transferring the pension assets of the Fund to external transit management, the transit period is taken into account to form the portfolio in accordance with the target parameters established by the investment management agreement. The duration of the transit period does not exceed 15 (fifteen) working days</w:t>
      </w:r>
    </w:p>
    <w:p>
      <w:pPr>
        <w:spacing w:after="0"/>
        <w:ind w:left="0"/>
        <w:jc w:val="both"/>
      </w:pPr>
      <w:r>
        <w:rPr>
          <w:rFonts w:ascii="Times New Roman"/>
          <w:b w:val="false"/>
          <w:i w:val="false"/>
          <w:color w:val="000000"/>
          <w:sz w:val="28"/>
        </w:rPr>
        <w:t>
      39. Pension assets of the Fund transferred to external transit management shall be kept on the accounts of the National Bank with the bank (banks)-custodian (custodians) and on a margin account with a clearing broker. It is allowed to place the pension assets of the Fund on a margin account of an external transit manager opened with a third party, provided there is an agreement between the National Bank and the external transit manager on the conditions for conducting transactions on such an account or the conditions for conducting transactions on such an account in an investment management agreement.</w:t>
      </w:r>
    </w:p>
    <w:p>
      <w:pPr>
        <w:spacing w:after="0"/>
        <w:ind w:left="0"/>
        <w:jc w:val="both"/>
      </w:pPr>
      <w:r>
        <w:rPr>
          <w:rFonts w:ascii="Times New Roman"/>
          <w:b w:val="false"/>
          <w:i w:val="false"/>
          <w:color w:val="000000"/>
          <w:sz w:val="28"/>
        </w:rPr>
        <w:t>
      40. From the day of the transfer of the pension assets of the Fund to the external transit management, the authorized subdivision shall conduct daily monitoring of the activities of the external transit manager by checking compliance with the restrictions established in the investment management agreement, monitoring transactions made by the external transit manager.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selecting foreign </w:t>
            </w:r>
            <w:r>
              <w:br/>
            </w:r>
            <w:r>
              <w:rPr>
                <w:rFonts w:ascii="Times New Roman"/>
                <w:b w:val="false"/>
                <w:i w:val="false"/>
                <w:color w:val="000000"/>
                <w:sz w:val="20"/>
              </w:rPr>
              <w:t xml:space="preserve">organizations managing pension </w:t>
            </w:r>
            <w:r>
              <w:br/>
            </w:r>
            <w:r>
              <w:rPr>
                <w:rFonts w:ascii="Times New Roman"/>
                <w:b w:val="false"/>
                <w:i w:val="false"/>
                <w:color w:val="000000"/>
                <w:sz w:val="20"/>
              </w:rPr>
              <w:t xml:space="preserve">assets of the unified accumulative </w:t>
            </w:r>
            <w:r>
              <w:br/>
            </w:r>
            <w:r>
              <w:rPr>
                <w:rFonts w:ascii="Times New Roman"/>
                <w:b w:val="false"/>
                <w:i w:val="false"/>
                <w:color w:val="000000"/>
                <w:sz w:val="20"/>
              </w:rPr>
              <w:t xml:space="preserve">pension fund, including the </w:t>
            </w:r>
            <w:r>
              <w:br/>
            </w:r>
            <w:r>
              <w:rPr>
                <w:rFonts w:ascii="Times New Roman"/>
                <w:b w:val="false"/>
                <w:i w:val="false"/>
                <w:color w:val="000000"/>
                <w:sz w:val="20"/>
              </w:rPr>
              <w:t>requirements thereto, when they</w:t>
            </w:r>
            <w:r>
              <w:br/>
            </w:r>
            <w:r>
              <w:rPr>
                <w:rFonts w:ascii="Times New Roman"/>
                <w:b w:val="false"/>
                <w:i w:val="false"/>
                <w:color w:val="000000"/>
                <w:sz w:val="20"/>
              </w:rPr>
              <w:t xml:space="preserve"> are instructed to take actions </w:t>
            </w:r>
            <w:r>
              <w:br/>
            </w:r>
            <w:r>
              <w:rPr>
                <w:rFonts w:ascii="Times New Roman"/>
                <w:b w:val="false"/>
                <w:i w:val="false"/>
                <w:color w:val="000000"/>
                <w:sz w:val="20"/>
              </w:rPr>
              <w:t xml:space="preserve">required for the management of </w:t>
            </w:r>
            <w:r>
              <w:br/>
            </w:r>
            <w:r>
              <w:rPr>
                <w:rFonts w:ascii="Times New Roman"/>
                <w:b w:val="false"/>
                <w:i w:val="false"/>
                <w:color w:val="000000"/>
                <w:sz w:val="20"/>
              </w:rPr>
              <w:t xml:space="preserve">pension assets of the unified </w:t>
            </w:r>
            <w:r>
              <w:br/>
            </w:r>
            <w:r>
              <w:rPr>
                <w:rFonts w:ascii="Times New Roman"/>
                <w:b w:val="false"/>
                <w:i w:val="false"/>
                <w:color w:val="000000"/>
                <w:sz w:val="20"/>
              </w:rPr>
              <w:t>accumulative pension fund</w:t>
            </w:r>
          </w:p>
        </w:tc>
      </w:tr>
    </w:tbl>
    <w:p>
      <w:pPr>
        <w:spacing w:after="0"/>
        <w:ind w:left="0"/>
        <w:jc w:val="left"/>
      </w:pPr>
      <w:r>
        <w:rPr>
          <w:rFonts w:ascii="Times New Roman"/>
          <w:b/>
          <w:i w:val="false"/>
          <w:color w:val="000000"/>
        </w:rPr>
        <w:t xml:space="preserve"> Minimum information requested from the potential external manager</w:t>
      </w:r>
    </w:p>
    <w:p>
      <w:pPr>
        <w:spacing w:after="0"/>
        <w:ind w:left="0"/>
        <w:jc w:val="both"/>
      </w:pPr>
      <w:r>
        <w:rPr>
          <w:rFonts w:ascii="Times New Roman"/>
          <w:b w:val="false"/>
          <w:i w:val="false"/>
          <w:color w:val="000000"/>
          <w:sz w:val="28"/>
        </w:rPr>
        <w:t>
      1. Work experience of a potential external manager on the considered type of mandate.</w:t>
      </w:r>
    </w:p>
    <w:p>
      <w:pPr>
        <w:spacing w:after="0"/>
        <w:ind w:left="0"/>
        <w:jc w:val="both"/>
      </w:pPr>
      <w:r>
        <w:rPr>
          <w:rFonts w:ascii="Times New Roman"/>
          <w:b w:val="false"/>
          <w:i w:val="false"/>
          <w:color w:val="000000"/>
          <w:sz w:val="28"/>
        </w:rPr>
        <w:t>
      2. The volume of assets of clients that are (were) managed by a potential external manager over the past 5 (five) years, including:</w:t>
      </w:r>
    </w:p>
    <w:p>
      <w:pPr>
        <w:spacing w:after="0"/>
        <w:ind w:left="0"/>
        <w:jc w:val="both"/>
      </w:pPr>
      <w:r>
        <w:rPr>
          <w:rFonts w:ascii="Times New Roman"/>
          <w:b w:val="false"/>
          <w:i w:val="false"/>
          <w:color w:val="000000"/>
          <w:sz w:val="28"/>
        </w:rPr>
        <w:t>
      1) volume of total assets under management;</w:t>
      </w:r>
    </w:p>
    <w:p>
      <w:pPr>
        <w:spacing w:after="0"/>
        <w:ind w:left="0"/>
        <w:jc w:val="both"/>
      </w:pPr>
      <w:r>
        <w:rPr>
          <w:rFonts w:ascii="Times New Roman"/>
          <w:b w:val="false"/>
          <w:i w:val="false"/>
          <w:color w:val="000000"/>
          <w:sz w:val="28"/>
        </w:rPr>
        <w:t>
      2) the volume of assets by the considered type of mandate;</w:t>
      </w:r>
    </w:p>
    <w:p>
      <w:pPr>
        <w:spacing w:after="0"/>
        <w:ind w:left="0"/>
        <w:jc w:val="both"/>
      </w:pPr>
      <w:r>
        <w:rPr>
          <w:rFonts w:ascii="Times New Roman"/>
          <w:b w:val="false"/>
          <w:i w:val="false"/>
          <w:color w:val="000000"/>
          <w:sz w:val="28"/>
        </w:rPr>
        <w:t>
      3) the volume of assets of institutional clients (including assets of central banks);</w:t>
      </w:r>
    </w:p>
    <w:p>
      <w:pPr>
        <w:spacing w:after="0"/>
        <w:ind w:left="0"/>
        <w:jc w:val="both"/>
      </w:pPr>
      <w:r>
        <w:rPr>
          <w:rFonts w:ascii="Times New Roman"/>
          <w:b w:val="false"/>
          <w:i w:val="false"/>
          <w:color w:val="000000"/>
          <w:sz w:val="28"/>
        </w:rPr>
        <w:t>
      4) volume of assets on segregated accounts.</w:t>
      </w:r>
    </w:p>
    <w:p>
      <w:pPr>
        <w:spacing w:after="0"/>
        <w:ind w:left="0"/>
        <w:jc w:val="both"/>
      </w:pPr>
      <w:r>
        <w:rPr>
          <w:rFonts w:ascii="Times New Roman"/>
          <w:b w:val="false"/>
          <w:i w:val="false"/>
          <w:color w:val="000000"/>
          <w:sz w:val="28"/>
        </w:rPr>
        <w:t>
      3. Information about portfolio managers and account managers who will be responsible for assets transferred to external management.</w:t>
      </w:r>
    </w:p>
    <w:p>
      <w:pPr>
        <w:spacing w:after="0"/>
        <w:ind w:left="0"/>
        <w:jc w:val="both"/>
      </w:pPr>
      <w:r>
        <w:rPr>
          <w:rFonts w:ascii="Times New Roman"/>
          <w:b w:val="false"/>
          <w:i w:val="false"/>
          <w:color w:val="000000"/>
          <w:sz w:val="28"/>
        </w:rPr>
        <w:t>
      4. Information on the staff turnover over the past 10 (ten) years among the employees of the investment block of a potential external manager (portfolio managers, analysts and traders).</w:t>
      </w:r>
    </w:p>
    <w:p>
      <w:pPr>
        <w:spacing w:after="0"/>
        <w:ind w:left="0"/>
        <w:jc w:val="both"/>
      </w:pPr>
      <w:r>
        <w:rPr>
          <w:rFonts w:ascii="Times New Roman"/>
          <w:b w:val="false"/>
          <w:i w:val="false"/>
          <w:color w:val="000000"/>
          <w:sz w:val="28"/>
        </w:rPr>
        <w:t>
      5. Detailed description of the investment process, portfolio management methods, market research, information sources used and the model for the valuation of financial instruments.</w:t>
      </w:r>
    </w:p>
    <w:p>
      <w:pPr>
        <w:spacing w:after="0"/>
        <w:ind w:left="0"/>
        <w:jc w:val="both"/>
      </w:pPr>
      <w:r>
        <w:rPr>
          <w:rFonts w:ascii="Times New Roman"/>
          <w:b w:val="false"/>
          <w:i w:val="false"/>
          <w:color w:val="000000"/>
          <w:sz w:val="28"/>
        </w:rPr>
        <w:t>
      6. How is active market risk modeling, monitoring and management carried out (if the considered type of mandate relates to active management).</w:t>
      </w:r>
    </w:p>
    <w:p>
      <w:pPr>
        <w:spacing w:after="0"/>
        <w:ind w:left="0"/>
        <w:jc w:val="both"/>
      </w:pPr>
      <w:r>
        <w:rPr>
          <w:rFonts w:ascii="Times New Roman"/>
          <w:b w:val="false"/>
          <w:i w:val="false"/>
          <w:color w:val="000000"/>
          <w:sz w:val="28"/>
        </w:rPr>
        <w:t>
      7. Availability of specialized software for monitoring and risk management.</w:t>
      </w:r>
    </w:p>
    <w:p>
      <w:pPr>
        <w:spacing w:after="0"/>
        <w:ind w:left="0"/>
        <w:jc w:val="both"/>
      </w:pPr>
      <w:r>
        <w:rPr>
          <w:rFonts w:ascii="Times New Roman"/>
          <w:b w:val="false"/>
          <w:i w:val="false"/>
          <w:color w:val="000000"/>
          <w:sz w:val="28"/>
        </w:rPr>
        <w:t>
      8. Historical results of portfolio management for a similar mandate over the past 5 (five) years with a similar or similar benchmark portfolio.</w:t>
      </w:r>
    </w:p>
    <w:p>
      <w:pPr>
        <w:spacing w:after="0"/>
        <w:ind w:left="0"/>
        <w:jc w:val="both"/>
      </w:pPr>
      <w:r>
        <w:rPr>
          <w:rFonts w:ascii="Times New Roman"/>
          <w:b w:val="false"/>
          <w:i w:val="false"/>
          <w:color w:val="000000"/>
          <w:sz w:val="28"/>
        </w:rPr>
        <w:t>
      9. Description of the software used to calculate profitability, risk, used in financial and analytical reporting.</w:t>
      </w:r>
    </w:p>
    <w:p>
      <w:pPr>
        <w:spacing w:after="0"/>
        <w:ind w:left="0"/>
        <w:jc w:val="both"/>
      </w:pPr>
      <w:r>
        <w:rPr>
          <w:rFonts w:ascii="Times New Roman"/>
          <w:b w:val="false"/>
          <w:i w:val="false"/>
          <w:color w:val="000000"/>
          <w:sz w:val="28"/>
        </w:rPr>
        <w:t>
      10. Brief description of internal corporate governance.</w:t>
      </w:r>
    </w:p>
    <w:p>
      <w:pPr>
        <w:spacing w:after="0"/>
        <w:ind w:left="0"/>
        <w:jc w:val="both"/>
      </w:pPr>
      <w:r>
        <w:rPr>
          <w:rFonts w:ascii="Times New Roman"/>
          <w:b w:val="false"/>
          <w:i w:val="false"/>
          <w:color w:val="000000"/>
          <w:sz w:val="28"/>
        </w:rPr>
        <w:t>
      11. Liability of the external manager to the National Bank in case of violation of the terms of the investment management agreement.</w:t>
      </w:r>
    </w:p>
    <w:p>
      <w:pPr>
        <w:spacing w:after="0"/>
        <w:ind w:left="0"/>
        <w:jc w:val="both"/>
      </w:pPr>
      <w:r>
        <w:rPr>
          <w:rFonts w:ascii="Times New Roman"/>
          <w:b w:val="false"/>
          <w:i w:val="false"/>
          <w:color w:val="000000"/>
          <w:sz w:val="28"/>
        </w:rPr>
        <w:t>
      12. Information on the types of insurance used to protect the client from errors of the external manager.</w:t>
      </w:r>
    </w:p>
    <w:p>
      <w:pPr>
        <w:spacing w:after="0"/>
        <w:ind w:left="0"/>
        <w:jc w:val="both"/>
      </w:pPr>
      <w:r>
        <w:rPr>
          <w:rFonts w:ascii="Times New Roman"/>
          <w:b w:val="false"/>
          <w:i w:val="false"/>
          <w:color w:val="000000"/>
          <w:sz w:val="28"/>
        </w:rPr>
        <w:t>
      13. Conditions for organization of training.</w:t>
      </w:r>
    </w:p>
    <w:p>
      <w:pPr>
        <w:spacing w:after="0"/>
        <w:ind w:left="0"/>
        <w:jc w:val="both"/>
      </w:pPr>
      <w:r>
        <w:rPr>
          <w:rFonts w:ascii="Times New Roman"/>
          <w:b w:val="false"/>
          <w:i w:val="false"/>
          <w:color w:val="000000"/>
          <w:sz w:val="28"/>
        </w:rPr>
        <w:t>
      14. Information on the expected level of commission for external management.</w:t>
      </w:r>
    </w:p>
    <w:p>
      <w:pPr>
        <w:spacing w:after="0"/>
        <w:ind w:left="0"/>
        <w:jc w:val="both"/>
      </w:pPr>
      <w:r>
        <w:rPr>
          <w:rFonts w:ascii="Times New Roman"/>
          <w:b w:val="false"/>
          <w:i w:val="false"/>
          <w:color w:val="000000"/>
          <w:sz w:val="28"/>
        </w:rPr>
        <w:t>
      15. Audited financial statement of a potential external manager for the last financial year.</w:t>
      </w:r>
    </w:p>
    <w:p>
      <w:pPr>
        <w:spacing w:after="0"/>
        <w:ind w:left="0"/>
        <w:jc w:val="both"/>
      </w:pPr>
      <w:r>
        <w:rPr>
          <w:rFonts w:ascii="Times New Roman"/>
          <w:b w:val="false"/>
          <w:i w:val="false"/>
          <w:color w:val="000000"/>
          <w:sz w:val="28"/>
        </w:rPr>
        <w:t>
      16. Internal policies and procedures of the external manager to mitigate the risk of abuse and conflicts of interest, including ensuring the equitable and fair distribution of transactions among client portfolios, checking the list and approval of brokers, agents and counterparties of the external manager.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selecting foreign </w:t>
            </w:r>
            <w:r>
              <w:br/>
            </w:r>
            <w:r>
              <w:rPr>
                <w:rFonts w:ascii="Times New Roman"/>
                <w:b w:val="false"/>
                <w:i w:val="false"/>
                <w:color w:val="000000"/>
                <w:sz w:val="20"/>
              </w:rPr>
              <w:t xml:space="preserve">organizations managing pension </w:t>
            </w:r>
            <w:r>
              <w:br/>
            </w:r>
            <w:r>
              <w:rPr>
                <w:rFonts w:ascii="Times New Roman"/>
                <w:b w:val="false"/>
                <w:i w:val="false"/>
                <w:color w:val="000000"/>
                <w:sz w:val="20"/>
              </w:rPr>
              <w:t xml:space="preserve">assets of the unified accumulative </w:t>
            </w:r>
            <w:r>
              <w:br/>
            </w:r>
            <w:r>
              <w:rPr>
                <w:rFonts w:ascii="Times New Roman"/>
                <w:b w:val="false"/>
                <w:i w:val="false"/>
                <w:color w:val="000000"/>
                <w:sz w:val="20"/>
              </w:rPr>
              <w:t xml:space="preserve">pension fund, including the </w:t>
            </w:r>
            <w:r>
              <w:br/>
            </w:r>
            <w:r>
              <w:rPr>
                <w:rFonts w:ascii="Times New Roman"/>
                <w:b w:val="false"/>
                <w:i w:val="false"/>
                <w:color w:val="000000"/>
                <w:sz w:val="20"/>
              </w:rPr>
              <w:t xml:space="preserve">requirements thereto, when they </w:t>
            </w:r>
            <w:r>
              <w:br/>
            </w:r>
            <w:r>
              <w:rPr>
                <w:rFonts w:ascii="Times New Roman"/>
                <w:b w:val="false"/>
                <w:i w:val="false"/>
                <w:color w:val="000000"/>
                <w:sz w:val="20"/>
              </w:rPr>
              <w:t xml:space="preserve">are instructed to take actions </w:t>
            </w:r>
            <w:r>
              <w:br/>
            </w:r>
            <w:r>
              <w:rPr>
                <w:rFonts w:ascii="Times New Roman"/>
                <w:b w:val="false"/>
                <w:i w:val="false"/>
                <w:color w:val="000000"/>
                <w:sz w:val="20"/>
              </w:rPr>
              <w:t xml:space="preserve">required for the management of </w:t>
            </w:r>
            <w:r>
              <w:br/>
            </w:r>
            <w:r>
              <w:rPr>
                <w:rFonts w:ascii="Times New Roman"/>
                <w:b w:val="false"/>
                <w:i w:val="false"/>
                <w:color w:val="000000"/>
                <w:sz w:val="20"/>
              </w:rPr>
              <w:t xml:space="preserve">pension assets of the unified </w:t>
            </w:r>
            <w:r>
              <w:br/>
            </w:r>
            <w:r>
              <w:rPr>
                <w:rFonts w:ascii="Times New Roman"/>
                <w:b w:val="false"/>
                <w:i w:val="false"/>
                <w:color w:val="000000"/>
                <w:sz w:val="20"/>
              </w:rPr>
              <w:t>accumulative pension fund</w:t>
            </w:r>
          </w:p>
        </w:tc>
      </w:tr>
    </w:tbl>
    <w:p>
      <w:pPr>
        <w:spacing w:after="0"/>
        <w:ind w:left="0"/>
        <w:jc w:val="left"/>
      </w:pPr>
      <w:r>
        <w:rPr>
          <w:rFonts w:ascii="Times New Roman"/>
          <w:b/>
          <w:i w:val="false"/>
          <w:color w:val="000000"/>
        </w:rPr>
        <w:t xml:space="preserve"> Assessment criteria for the comparative analysis of proposals from potential external managers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score assigned to the criteria (the significance of the indicator is defined as a percentage)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portfolio management performance (when carrying out comparative analysis of the proposals of potential external managers specializing in regional mandates and participating in the selection of a global mandate manager, scores are normalized based on the scope of the respective mandate)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geometric excess profitability for the last 3 (three) - 5 (five) years (if the excess profitability indicator for a period of less than 5 (five) years is positive, the indicator is normalized relative to a period of 5 (five)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arithmetic average of the information coefficient for the last 3 (three) -5 (five) years (if the indicator of the information coefficient for a period of less than 5 (five) years is positive, the indicator is normalized relative to a period of 5 (five)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percent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employees in the capital structure of the organization (employee owned)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change (in percent) of assets under management (outflows and inflows over the last 3 (three) - 5 (five) years or since the beginning of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percentage of assets under this considered mandate to total assets under management (when performing a comparative analysis of proposals from potential external managers specializing in regional mandates and participating in the selection of a global mandate manager, the volume of assets by regional mandates is used. This value is normalized depending on the scope of the respective mandate)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assets of institutional investors to total assets under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work experience of portfolio managers and analysts responsible for asset management for the respective mandate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among employees of the investment block (portfolio managers, analysts, traders) in the whole company (the lowest value is taken into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type of insurance of clients' interests against actions or inaction of an external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commission for the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the base commission (the lowest value is taken into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principle of payment of commission based on the results of external management in the event of a positive excess returns exceeding similar indicators for previous periods from the day the external manager began management (net new high basis since inception)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condition on the minimum threshold for excess returns, from which the calculation of the commission based on the results of external management begins, not lower than the base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establishment of the terms of payment of the commission based on the results of external management over several years in parts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percent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the employees of the National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training of 1 (one) - 2 (two) weeks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opportunity for an internship and (or) secondment lasting from 1 (one)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assessment of the proposal of a potential external manager is the sum of points according to all assessment criteria in accordance with their significance.</w:t>
      </w:r>
    </w:p>
    <w:p>
      <w:pPr>
        <w:spacing w:after="0"/>
        <w:ind w:left="0"/>
        <w:jc w:val="both"/>
      </w:pPr>
      <w:r>
        <w:rPr>
          <w:rFonts w:ascii="Times New Roman"/>
          <w:b w:val="false"/>
          <w:i w:val="false"/>
          <w:color w:val="000000"/>
          <w:sz w:val="28"/>
        </w:rPr>
        <w:t>
      2. To calculate points, each indicator shall be subject to normalization relative to the best indicator in the considered criterion for all potential external managers.</w:t>
      </w:r>
    </w:p>
    <w:p>
      <w:pPr>
        <w:spacing w:after="0"/>
        <w:ind w:left="0"/>
        <w:jc w:val="both"/>
      </w:pPr>
      <w:r>
        <w:rPr>
          <w:rFonts w:ascii="Times New Roman"/>
          <w:b w:val="false"/>
          <w:i w:val="false"/>
          <w:color w:val="000000"/>
          <w:sz w:val="28"/>
        </w:rPr>
        <w:t>
      In this case, the normalized indicator of a potential external manager is the ratio of the indicator of the external manager to the maximum value of the indicator according to the considered criterion.</w:t>
      </w:r>
    </w:p>
    <w:p>
      <w:pPr>
        <w:spacing w:after="0"/>
        <w:ind w:left="0"/>
        <w:jc w:val="both"/>
      </w:pPr>
      <w:r>
        <w:rPr>
          <w:rFonts w:ascii="Times New Roman"/>
          <w:b w:val="false"/>
          <w:i w:val="false"/>
          <w:color w:val="000000"/>
          <w:sz w:val="28"/>
        </w:rPr>
        <w:t>
      3. If an external manager manages assets under a declared mandate under a different mandate, then the historical results of managing these assets under a different mandate are assessed.</w:t>
      </w:r>
    </w:p>
    <w:p>
      <w:pPr>
        <w:spacing w:after="0"/>
        <w:ind w:left="0"/>
        <w:jc w:val="both"/>
      </w:pPr>
      <w:r>
        <w:rPr>
          <w:rFonts w:ascii="Times New Roman"/>
          <w:b w:val="false"/>
          <w:i w:val="false"/>
          <w:color w:val="000000"/>
          <w:sz w:val="28"/>
        </w:rPr>
        <w:t>
      4. When assessing the training of employees of the National Bank, the following system of indicators is used: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(training conditions for employees)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assigned to the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External manager shall pay the flight, accommodation, meals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shall pay the accommodation, meals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shall pay the accommodation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selecting foreign </w:t>
            </w:r>
            <w:r>
              <w:br/>
            </w:r>
            <w:r>
              <w:rPr>
                <w:rFonts w:ascii="Times New Roman"/>
                <w:b w:val="false"/>
                <w:i w:val="false"/>
                <w:color w:val="000000"/>
                <w:sz w:val="20"/>
              </w:rPr>
              <w:t xml:space="preserve">organizations managing pension </w:t>
            </w:r>
            <w:r>
              <w:br/>
            </w:r>
            <w:r>
              <w:rPr>
                <w:rFonts w:ascii="Times New Roman"/>
                <w:b w:val="false"/>
                <w:i w:val="false"/>
                <w:color w:val="000000"/>
                <w:sz w:val="20"/>
              </w:rPr>
              <w:t xml:space="preserve">assets of the unified accumulative </w:t>
            </w:r>
            <w:r>
              <w:br/>
            </w:r>
            <w:r>
              <w:rPr>
                <w:rFonts w:ascii="Times New Roman"/>
                <w:b w:val="false"/>
                <w:i w:val="false"/>
                <w:color w:val="000000"/>
                <w:sz w:val="20"/>
              </w:rPr>
              <w:t xml:space="preserve">pension fund, including the </w:t>
            </w:r>
            <w:r>
              <w:br/>
            </w:r>
            <w:r>
              <w:rPr>
                <w:rFonts w:ascii="Times New Roman"/>
                <w:b w:val="false"/>
                <w:i w:val="false"/>
                <w:color w:val="000000"/>
                <w:sz w:val="20"/>
              </w:rPr>
              <w:t xml:space="preserve">requirements thereto, when they </w:t>
            </w:r>
            <w:r>
              <w:br/>
            </w:r>
            <w:r>
              <w:rPr>
                <w:rFonts w:ascii="Times New Roman"/>
                <w:b w:val="false"/>
                <w:i w:val="false"/>
                <w:color w:val="000000"/>
                <w:sz w:val="20"/>
              </w:rPr>
              <w:t xml:space="preserve">are instructed to take actions </w:t>
            </w:r>
            <w:r>
              <w:br/>
            </w:r>
            <w:r>
              <w:rPr>
                <w:rFonts w:ascii="Times New Roman"/>
                <w:b w:val="false"/>
                <w:i w:val="false"/>
                <w:color w:val="000000"/>
                <w:sz w:val="20"/>
              </w:rPr>
              <w:t xml:space="preserve">required for the management of </w:t>
            </w:r>
            <w:r>
              <w:br/>
            </w:r>
            <w:r>
              <w:rPr>
                <w:rFonts w:ascii="Times New Roman"/>
                <w:b w:val="false"/>
                <w:i w:val="false"/>
                <w:color w:val="000000"/>
                <w:sz w:val="20"/>
              </w:rPr>
              <w:t xml:space="preserve">pension assets of the unified </w:t>
            </w:r>
            <w:r>
              <w:br/>
            </w:r>
            <w:r>
              <w:rPr>
                <w:rFonts w:ascii="Times New Roman"/>
                <w:b w:val="false"/>
                <w:i w:val="false"/>
                <w:color w:val="000000"/>
                <w:sz w:val="20"/>
              </w:rPr>
              <w:t>accumulative pension fund</w:t>
            </w:r>
          </w:p>
        </w:tc>
      </w:tr>
    </w:tbl>
    <w:p>
      <w:pPr>
        <w:spacing w:after="0"/>
        <w:ind w:left="0"/>
        <w:jc w:val="left"/>
      </w:pPr>
      <w:r>
        <w:rPr>
          <w:rFonts w:ascii="Times New Roman"/>
          <w:b/>
          <w:i w:val="false"/>
          <w:color w:val="000000"/>
        </w:rPr>
        <w:t xml:space="preserve"> Assessment criteria for comparative analysis of proposals of potential external managers from the short list within the framework of investment and operational due diligence Table 1. Quantitative analysis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criteria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assigned to criteria (the significance of indicators is defined as a percentage)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Improved index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Passive (index) management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Historical risk-adjusted returns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geometric excess return for the last 3 (three) - 5 (five) years</w:t>
            </w:r>
          </w:p>
          <w:p>
            <w:pPr>
              <w:spacing w:after="20"/>
              <w:ind w:left="20"/>
              <w:jc w:val="both"/>
            </w:pPr>
            <w:r>
              <w:rPr>
                <w:rFonts w:ascii="Times New Roman"/>
                <w:b w:val="false"/>
                <w:i w:val="false"/>
                <w:color w:val="000000"/>
                <w:sz w:val="20"/>
              </w:rPr>
              <w:t>
(if the excess return indicator for a period of less than 5 (five) years is positive, the indicator is normalized relative to a period of 5 (five)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percent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arithmetic mean of the information coefficient for the last 3 (three) - 5 (five) years</w:t>
            </w:r>
          </w:p>
          <w:p>
            <w:pPr>
              <w:spacing w:after="20"/>
              <w:ind w:left="20"/>
              <w:jc w:val="both"/>
            </w:pPr>
            <w:r>
              <w:rPr>
                <w:rFonts w:ascii="Times New Roman"/>
                <w:b w:val="false"/>
                <w:i w:val="false"/>
                <w:color w:val="000000"/>
                <w:sz w:val="20"/>
              </w:rPr>
              <w:t>
(if the excess return indicator for a period of less than 5 (five) years is positive, the indicator is normalized relative to a period of 5 (five)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Sharpe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Sortino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assessment of the stability of historical results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returns deviation variability (tracking error)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exceedance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 ratio (kurtosis)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range of the excess return indicator (absolute)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exceeding portfolio performance against the reference (in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Decline risk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Returns deviation variability (tracking error) below the minimum threshold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unsatisfactory results of the portfolio against the reference (in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loss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Largest impairment in portfolio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recovery of portfolio results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percent</w:t>
            </w:r>
          </w:p>
        </w:tc>
      </w:tr>
    </w:tbl>
    <w:p>
      <w:pPr>
        <w:spacing w:after="0"/>
        <w:ind w:left="0"/>
        <w:jc w:val="left"/>
      </w:pPr>
      <w:r>
        <w:rPr>
          <w:rFonts w:ascii="Times New Roman"/>
          <w:b/>
          <w:i w:val="false"/>
          <w:color w:val="000000"/>
        </w:rPr>
        <w:t xml:space="preserve"> Table 2. Qualitative analysis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criteria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 (unsatisfactory)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Investment process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Investment portfolio 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relevant restrictions and limits of the investment strategy of the proposed investment product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analytical research and implementation of investment ideas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portfolio management results for compliance with the declared style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Decision-making process for buying or selling financial instruments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making model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 clear and consistent discipline in the sale of financial instruments, as well as procedures for setting loss limits (stop-loss)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Internal control and monitoring procedures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Risk management process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procedure or regulations for the work of the external manager for portfolio risk management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for portfolio risk management and monitoring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Process of trading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Best Execution Policy, including a procedure for selecting and approving counterparties and trading platforms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compliance procedures and data reconciliation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of transactions with securities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assessment of the proposal of a potential external manager from the short list is the sum of points according to all the criteria given in Table 1, in accordance with their significance.</w:t>
      </w:r>
    </w:p>
    <w:p>
      <w:pPr>
        <w:spacing w:after="0"/>
        <w:ind w:left="0"/>
        <w:jc w:val="both"/>
      </w:pPr>
      <w:r>
        <w:rPr>
          <w:rFonts w:ascii="Times New Roman"/>
          <w:b w:val="false"/>
          <w:i w:val="false"/>
          <w:color w:val="000000"/>
          <w:sz w:val="28"/>
        </w:rPr>
        <w:t>
      2. For the purposes of calculating points, each indicator is subject to normalization relative to the best indicator in the considered criterion for all potential external managers from the short list. In this case, the normalized indicator is the ratio of the indicator of the external manager from the short list to the maximum value of the indicator according to the criterion under consideration.</w:t>
      </w:r>
    </w:p>
    <w:p>
      <w:pPr>
        <w:spacing w:after="0"/>
        <w:ind w:left="0"/>
        <w:jc w:val="both"/>
      </w:pPr>
      <w:r>
        <w:rPr>
          <w:rFonts w:ascii="Times New Roman"/>
          <w:b w:val="false"/>
          <w:i w:val="false"/>
          <w:color w:val="000000"/>
          <w:sz w:val="28"/>
        </w:rPr>
        <w:t>
      3. When evaluating the investment process and internal procedures for control and monitoring of a potential external manager within the framework of a qualitative analysis, the criteria of which are given in Table 2, the following system of indicators is used: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assigned to the indicator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 - the process and (or) procedures of the potential external manager are consistent with the declared status, are understandable and can be easily interpreted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 - the process and (or) procedures of the potential external manager do not correspond to the declared status, are acceptable, but there are problems in terms of implementing solutions within the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4</w:t>
            </w:r>
            <w:r>
              <w:br/>
            </w:r>
            <w:r>
              <w:rPr>
                <w:rFonts w:ascii="Times New Roman"/>
                <w:b w:val="false"/>
                <w:i w:val="false"/>
                <w:color w:val="000000"/>
                <w:sz w:val="20"/>
              </w:rPr>
              <w:t xml:space="preserve"> to the Rules for selecting foreign </w:t>
            </w:r>
            <w:r>
              <w:br/>
            </w:r>
            <w:r>
              <w:rPr>
                <w:rFonts w:ascii="Times New Roman"/>
                <w:b w:val="false"/>
                <w:i w:val="false"/>
                <w:color w:val="000000"/>
                <w:sz w:val="20"/>
              </w:rPr>
              <w:t xml:space="preserve">organizations managing pension </w:t>
            </w:r>
            <w:r>
              <w:br/>
            </w:r>
            <w:r>
              <w:rPr>
                <w:rFonts w:ascii="Times New Roman"/>
                <w:b w:val="false"/>
                <w:i w:val="false"/>
                <w:color w:val="000000"/>
                <w:sz w:val="20"/>
              </w:rPr>
              <w:t xml:space="preserve">assets of the unified accumulative </w:t>
            </w:r>
            <w:r>
              <w:br/>
            </w:r>
            <w:r>
              <w:rPr>
                <w:rFonts w:ascii="Times New Roman"/>
                <w:b w:val="false"/>
                <w:i w:val="false"/>
                <w:color w:val="000000"/>
                <w:sz w:val="20"/>
              </w:rPr>
              <w:t xml:space="preserve">pension fund, including the </w:t>
            </w:r>
            <w:r>
              <w:br/>
            </w:r>
            <w:r>
              <w:rPr>
                <w:rFonts w:ascii="Times New Roman"/>
                <w:b w:val="false"/>
                <w:i w:val="false"/>
                <w:color w:val="000000"/>
                <w:sz w:val="20"/>
              </w:rPr>
              <w:t xml:space="preserve">requirements thereto, when they </w:t>
            </w:r>
            <w:r>
              <w:br/>
            </w:r>
            <w:r>
              <w:rPr>
                <w:rFonts w:ascii="Times New Roman"/>
                <w:b w:val="false"/>
                <w:i w:val="false"/>
                <w:color w:val="000000"/>
                <w:sz w:val="20"/>
              </w:rPr>
              <w:t xml:space="preserve">are instructed to take actions </w:t>
            </w:r>
            <w:r>
              <w:br/>
            </w:r>
            <w:r>
              <w:rPr>
                <w:rFonts w:ascii="Times New Roman"/>
                <w:b w:val="false"/>
                <w:i w:val="false"/>
                <w:color w:val="000000"/>
                <w:sz w:val="20"/>
              </w:rPr>
              <w:t xml:space="preserve">required for the management of </w:t>
            </w:r>
            <w:r>
              <w:br/>
            </w:r>
            <w:r>
              <w:rPr>
                <w:rFonts w:ascii="Times New Roman"/>
                <w:b w:val="false"/>
                <w:i w:val="false"/>
                <w:color w:val="000000"/>
                <w:sz w:val="20"/>
              </w:rPr>
              <w:t xml:space="preserve">pension assets of the unified </w:t>
            </w:r>
            <w:r>
              <w:br/>
            </w:r>
            <w:r>
              <w:rPr>
                <w:rFonts w:ascii="Times New Roman"/>
                <w:b w:val="false"/>
                <w:i w:val="false"/>
                <w:color w:val="000000"/>
                <w:sz w:val="20"/>
              </w:rPr>
              <w:t>accumulative pension fund</w:t>
            </w:r>
          </w:p>
        </w:tc>
      </w:tr>
    </w:tbl>
    <w:p>
      <w:pPr>
        <w:spacing w:after="0"/>
        <w:ind w:left="0"/>
        <w:jc w:val="left"/>
      </w:pPr>
      <w:r>
        <w:rPr>
          <w:rFonts w:ascii="Times New Roman"/>
          <w:b/>
          <w:i w:val="false"/>
          <w:color w:val="000000"/>
        </w:rPr>
        <w:t xml:space="preserve"> Methodology for assessment of effectiveness of work of the external manager</w:t>
      </w:r>
    </w:p>
    <w:p>
      <w:pPr>
        <w:spacing w:after="0"/>
        <w:ind w:left="0"/>
        <w:jc w:val="both"/>
      </w:pPr>
      <w:r>
        <w:rPr>
          <w:rFonts w:ascii="Times New Roman"/>
          <w:b w:val="false"/>
          <w:i w:val="false"/>
          <w:color w:val="000000"/>
          <w:sz w:val="28"/>
        </w:rPr>
        <w:t>
      1. Assessment of the effectiveness of the work of the external manager shall be carried out by assigning points to the external manager in accordance with the quantitative and qualitative indicators provided for by this Methodology.</w:t>
      </w:r>
    </w:p>
    <w:p>
      <w:pPr>
        <w:spacing w:after="0"/>
        <w:ind w:left="0"/>
        <w:jc w:val="both"/>
      </w:pPr>
      <w:r>
        <w:rPr>
          <w:rFonts w:ascii="Times New Roman"/>
          <w:b w:val="false"/>
          <w:i w:val="false"/>
          <w:color w:val="000000"/>
          <w:sz w:val="28"/>
        </w:rPr>
        <w:t>
      2. Quantitative indicators:</w:t>
      </w:r>
    </w:p>
    <w:p>
      <w:pPr>
        <w:spacing w:after="0"/>
        <w:ind w:left="0"/>
        <w:jc w:val="both"/>
      </w:pPr>
      <w:r>
        <w:rPr>
          <w:rFonts w:ascii="Times New Roman"/>
          <w:b w:val="false"/>
          <w:i w:val="false"/>
          <w:color w:val="000000"/>
          <w:sz w:val="28"/>
        </w:rPr>
        <w:t>
      information coefficient (Information ratio)</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coefficient</w:t>
            </w:r>
          </w:p>
          <w:p>
            <w:pPr>
              <w:spacing w:after="20"/>
              <w:ind w:left="20"/>
              <w:jc w:val="both"/>
            </w:pPr>
            <w:r>
              <w:rPr>
                <w:rFonts w:ascii="Times New Roman"/>
                <w:b w:val="false"/>
                <w:i w:val="false"/>
                <w:color w:val="000000"/>
                <w:sz w:val="20"/>
              </w:rPr>
              <w:t xml:space="preserve">
(Information ratio)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points</w:t>
            </w:r>
          </w:p>
        </w:tc>
      </w:tr>
    </w:tbl>
    <w:p>
      <w:pPr>
        <w:spacing w:after="0"/>
        <w:ind w:left="0"/>
        <w:jc w:val="both"/>
      </w:pPr>
      <w:r>
        <w:rPr>
          <w:rFonts w:ascii="Times New Roman"/>
          <w:b w:val="false"/>
          <w:i w:val="false"/>
          <w:color w:val="000000"/>
          <w:sz w:val="28"/>
        </w:rPr>
        <w:t>
      3. Qualitative indicators:</w:t>
      </w:r>
    </w:p>
    <w:p>
      <w:pPr>
        <w:spacing w:after="0"/>
        <w:ind w:left="0"/>
        <w:jc w:val="both"/>
      </w:pPr>
      <w:r>
        <w:rPr>
          <w:rFonts w:ascii="Times New Roman"/>
          <w:b w:val="false"/>
          <w:i w:val="false"/>
          <w:color w:val="000000"/>
          <w:sz w:val="28"/>
        </w:rPr>
        <w:t>
      1)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in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bl>
    <w:p>
      <w:pPr>
        <w:spacing w:after="0"/>
        <w:ind w:left="0"/>
        <w:jc w:val="both"/>
      </w:pPr>
      <w:r>
        <w:rPr>
          <w:rFonts w:ascii="Times New Roman"/>
          <w:b w:val="false"/>
          <w:i w:val="false"/>
          <w:color w:val="000000"/>
          <w:sz w:val="28"/>
        </w:rPr>
        <w:t>
      2) Operational risk.</w:t>
      </w:r>
    </w:p>
    <w:p>
      <w:pPr>
        <w:spacing w:after="0"/>
        <w:ind w:left="0"/>
        <w:jc w:val="both"/>
      </w:pPr>
      <w:r>
        <w:rPr>
          <w:rFonts w:ascii="Times New Roman"/>
          <w:b w:val="false"/>
          <w:i w:val="false"/>
          <w:color w:val="000000"/>
          <w:sz w:val="28"/>
        </w:rPr>
        <w:t>
      For each violation of the restrictions stipulated by the investment strategy established for the external manager in the investment management agreement, due to an operational error, 0.2 (zero point two) points are subtracted from the assessment;</w:t>
      </w:r>
    </w:p>
    <w:p>
      <w:pPr>
        <w:spacing w:after="0"/>
        <w:ind w:left="0"/>
        <w:jc w:val="both"/>
      </w:pPr>
      <w:r>
        <w:rPr>
          <w:rFonts w:ascii="Times New Roman"/>
          <w:b w:val="false"/>
          <w:i w:val="false"/>
          <w:color w:val="000000"/>
          <w:sz w:val="28"/>
        </w:rPr>
        <w:t>
      3) compliance with a Code of Business Ethics.</w:t>
      </w:r>
    </w:p>
    <w:p>
      <w:pPr>
        <w:spacing w:after="0"/>
        <w:ind w:left="0"/>
        <w:jc w:val="both"/>
      </w:pPr>
      <w:r>
        <w:rPr>
          <w:rFonts w:ascii="Times New Roman"/>
          <w:b w:val="false"/>
          <w:i w:val="false"/>
          <w:color w:val="000000"/>
          <w:sz w:val="28"/>
        </w:rPr>
        <w:t>
      For each violation by an external manager of business ethics, 0.5 (zero point five) points are subtracted from the assessment.</w:t>
      </w:r>
    </w:p>
    <w:p>
      <w:pPr>
        <w:spacing w:after="0"/>
        <w:ind w:left="0"/>
        <w:jc w:val="both"/>
      </w:pPr>
      <w:r>
        <w:rPr>
          <w:rFonts w:ascii="Times New Roman"/>
          <w:b w:val="false"/>
          <w:i w:val="false"/>
          <w:color w:val="000000"/>
          <w:sz w:val="28"/>
        </w:rPr>
        <w:t>
      In case of systematic untimely execution of client orders, 0.5 (zero point five) points are subtracted from the assessment.</w:t>
      </w:r>
    </w:p>
    <w:p>
      <w:pPr>
        <w:spacing w:after="0"/>
        <w:ind w:left="0"/>
        <w:jc w:val="both"/>
      </w:pPr>
      <w:r>
        <w:rPr>
          <w:rFonts w:ascii="Times New Roman"/>
          <w:b w:val="false"/>
          <w:i w:val="false"/>
          <w:color w:val="000000"/>
          <w:sz w:val="28"/>
        </w:rPr>
        <w:t>
      4. The final performance score shall be calculated as the sum of points in terms of quantitative and qualitative indicators.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