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766d" w14:textId="69e7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inclusion of consumers in the list of power plants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April 30, 2020 No. 169. Registered in the Ministry of Justice of the Republic of Kazakhstan on May 2, 2020 No. 20554.</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u w:val="single"/>
        </w:rPr>
        <w:t>subparagraph 445)</w:t>
      </w:r>
      <w:r>
        <w:rPr>
          <w:rFonts w:ascii="Times New Roman"/>
          <w:b w:val="false"/>
          <w:i w:val="false"/>
          <w:color w:val="000000"/>
          <w:sz w:val="28"/>
        </w:rPr>
        <w:t xml:space="preserve"> of paragraph 15 of the Regulations on the Ministry of Energy of the Republic of Kazakhstan, approved by the resolution of the Government of the Republic of Kazakhstan dated September 19, 2014, № 994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Energy of the Republic of Kazakhstan dated 14.10.2024 № 368 (shall enter into force upon expiry of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To approve the attached Rules for inclusion of consumers in the list of power plants. </w:t>
      </w:r>
    </w:p>
    <w:bookmarkEnd w:id="1"/>
    <w:bookmarkStart w:name="z3" w:id="2"/>
    <w:p>
      <w:pPr>
        <w:spacing w:after="0"/>
        <w:ind w:left="0"/>
        <w:jc w:val="both"/>
      </w:pPr>
      <w:r>
        <w:rPr>
          <w:rFonts w:ascii="Times New Roman"/>
          <w:b w:val="false"/>
          <w:i w:val="false"/>
          <w:color w:val="000000"/>
          <w:sz w:val="28"/>
        </w:rPr>
        <w:t xml:space="preserve">
      2. The Department for development of electric power industry of the Ministry of Energy of the Republic of Kazakhstan, in accordance with the procedure established by the legislation of the Republic of Kazakhstan, to ensure: </w:t>
      </w:r>
    </w:p>
    <w:bookmarkEnd w:id="2"/>
    <w:bookmarkStart w:name="z4"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Energy of the Republic of Kazakhstan;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submission of information to the Department of Legal Service of the Ministry of Energy of the Republic of Kazakhstan on implementation of the measures provided for in subparagraphs 1) and 2) of this paragraph.</w:t>
      </w:r>
    </w:p>
    <w:bookmarkEnd w:id="5"/>
    <w:bookmarkStart w:name="z7" w:id="6"/>
    <w:p>
      <w:pPr>
        <w:spacing w:after="0"/>
        <w:ind w:left="0"/>
        <w:jc w:val="both"/>
      </w:pPr>
      <w:r>
        <w:rPr>
          <w:rFonts w:ascii="Times New Roman"/>
          <w:b w:val="false"/>
          <w:i w:val="false"/>
          <w:color w:val="000000"/>
          <w:sz w:val="28"/>
        </w:rPr>
        <w:t xml:space="preserve">
      3. The supervising Vice Minister of Energy of the Republic of Kazakhstan is authorized to control the execution of this order. </w:t>
      </w:r>
    </w:p>
    <w:bookmarkEnd w:id="6"/>
    <w:bookmarkStart w:name="z8" w:id="7"/>
    <w:p>
      <w:pPr>
        <w:spacing w:after="0"/>
        <w:ind w:left="0"/>
        <w:jc w:val="both"/>
      </w:pPr>
      <w:r>
        <w:rPr>
          <w:rFonts w:ascii="Times New Roman"/>
          <w:b w:val="false"/>
          <w:i w:val="false"/>
          <w:color w:val="000000"/>
          <w:sz w:val="28"/>
        </w:rPr>
        <w:t>
      4. This order comes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 of the</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Nogayev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 xml:space="preserve">dated April 30, 2020 № 169 </w:t>
            </w:r>
          </w:p>
        </w:tc>
      </w:tr>
    </w:tbl>
    <w:bookmarkStart w:name="z10" w:id="8"/>
    <w:p>
      <w:pPr>
        <w:spacing w:after="0"/>
        <w:ind w:left="0"/>
        <w:jc w:val="left"/>
      </w:pPr>
      <w:r>
        <w:rPr>
          <w:rFonts w:ascii="Times New Roman"/>
          <w:b/>
          <w:i w:val="false"/>
          <w:color w:val="000000"/>
        </w:rPr>
        <w:t xml:space="preserve"> Rules for inclusion of consumers in the list of power plants</w:t>
      </w:r>
      <w:r>
        <w:br/>
      </w:r>
    </w:p>
    <w:bookmarkEnd w:id="8"/>
    <w:bookmarkStart w:name="z11" w:id="9"/>
    <w:p>
      <w:pPr>
        <w:spacing w:after="0"/>
        <w:ind w:left="0"/>
        <w:jc w:val="left"/>
      </w:pPr>
      <w:r>
        <w:rPr>
          <w:rFonts w:ascii="Times New Roman"/>
          <w:b/>
          <w:i w:val="false"/>
          <w:color w:val="000000"/>
        </w:rPr>
        <w:t xml:space="preserve"> Chapter 1. General provisions</w:t>
      </w:r>
    </w:p>
    <w:bookmarkEnd w:id="9"/>
    <w:bookmarkStart w:name="z12" w:id="10"/>
    <w:p>
      <w:pPr>
        <w:spacing w:after="0"/>
        <w:ind w:left="0"/>
        <w:jc w:val="both"/>
      </w:pPr>
      <w:r>
        <w:rPr>
          <w:rFonts w:ascii="Times New Roman"/>
          <w:b w:val="false"/>
          <w:i w:val="false"/>
          <w:color w:val="000000"/>
          <w:sz w:val="28"/>
        </w:rPr>
        <w:t xml:space="preserve">
      1. These Rules for the inclusion of consumers in the list of power plants (hereinafter referred to as the Rules) have been developed in accordance with </w:t>
      </w:r>
      <w:r>
        <w:rPr>
          <w:rFonts w:ascii="Times New Roman"/>
          <w:b w:val="false"/>
          <w:i w:val="false"/>
          <w:color w:val="000000"/>
          <w:sz w:val="28"/>
          <w:u w:val="single"/>
        </w:rPr>
        <w:t>subparagraph 445)</w:t>
      </w:r>
      <w:r>
        <w:rPr>
          <w:rFonts w:ascii="Times New Roman"/>
          <w:b w:val="false"/>
          <w:i w:val="false"/>
          <w:color w:val="000000"/>
          <w:sz w:val="28"/>
        </w:rPr>
        <w:t xml:space="preserve"> of paragraph 15 of the regulation on the Ministry of Energy of the Republic of Kazakhstan, approved by resolution of the Government of the Republic of Kazakhstan dated September 19, 2014 № 994 (hereinafter referred to as the regulation), and shall determine the procedure for including consumers in the list of power plants.</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Energy of the Republic of Kazakhstan dated 14.10.2024 № 368 (shall enter into force upon expiry of ten calendar days after the day of its first official publication).</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The following basic concepts are used in these Rules:</w:t>
      </w:r>
    </w:p>
    <w:bookmarkEnd w:id="11"/>
    <w:bookmarkStart w:name="z14" w:id="12"/>
    <w:p>
      <w:pPr>
        <w:spacing w:after="0"/>
        <w:ind w:left="0"/>
        <w:jc w:val="both"/>
      </w:pPr>
      <w:r>
        <w:rPr>
          <w:rFonts w:ascii="Times New Roman"/>
          <w:b w:val="false"/>
          <w:i w:val="false"/>
          <w:color w:val="000000"/>
          <w:sz w:val="28"/>
        </w:rPr>
        <w:t>
      1) an authorized body - a state body that exercises leadership in the field of the electric power industry;</w:t>
      </w:r>
    </w:p>
    <w:bookmarkEnd w:id="12"/>
    <w:bookmarkStart w:name="z15" w:id="13"/>
    <w:p>
      <w:pPr>
        <w:spacing w:after="0"/>
        <w:ind w:left="0"/>
        <w:jc w:val="both"/>
      </w:pPr>
      <w:r>
        <w:rPr>
          <w:rFonts w:ascii="Times New Roman"/>
          <w:b w:val="false"/>
          <w:i w:val="false"/>
          <w:color w:val="000000"/>
          <w:sz w:val="28"/>
        </w:rPr>
        <w:t>
      2) list of power plants - an approved list of energy producing organizations that meet the criteria established by the Law of the Republic of Kazakhstan "On electric power industry" (hereinafter referred to as the Law);</w:t>
      </w:r>
    </w:p>
    <w:bookmarkEnd w:id="13"/>
    <w:bookmarkStart w:name="z16" w:id="14"/>
    <w:p>
      <w:pPr>
        <w:spacing w:after="0"/>
        <w:ind w:left="0"/>
        <w:jc w:val="both"/>
      </w:pPr>
      <w:r>
        <w:rPr>
          <w:rFonts w:ascii="Times New Roman"/>
          <w:b w:val="false"/>
          <w:i w:val="false"/>
          <w:color w:val="000000"/>
          <w:sz w:val="28"/>
        </w:rPr>
        <w:t>
      3) a consumer included in the list of power plants - a legal entity included in the list of power plants in accordance with the Law, which uses or will use commercial gas as a fuel for production of electric power.</w:t>
      </w:r>
    </w:p>
    <w:bookmarkEnd w:id="14"/>
    <w:bookmarkStart w:name="z17" w:id="15"/>
    <w:p>
      <w:pPr>
        <w:spacing w:after="0"/>
        <w:ind w:left="0"/>
        <w:jc w:val="both"/>
      </w:pPr>
      <w:r>
        <w:rPr>
          <w:rFonts w:ascii="Times New Roman"/>
          <w:b w:val="false"/>
          <w:i w:val="false"/>
          <w:color w:val="000000"/>
          <w:sz w:val="28"/>
        </w:rPr>
        <w:t>
      Other concepts and definitions used in these Rules are applied in accordance with the legislation of the Republic of Kazakhstan in the field of electric power industry.</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Energy of the Republic of Kazakhstan dated 14.10.2024 № 368 (shall enter into force upon expiry of ten calendar days after the day of its first official publication).</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According to paragraph 2 of Article 15-7 of the Law, an energy producing organization for inclusion in the list of power plants must, in aggregate, meet the following criteria:</w:t>
      </w:r>
    </w:p>
    <w:bookmarkEnd w:id="16"/>
    <w:bookmarkStart w:name="z19" w:id="17"/>
    <w:p>
      <w:pPr>
        <w:spacing w:after="0"/>
        <w:ind w:left="0"/>
        <w:jc w:val="both"/>
      </w:pPr>
      <w:r>
        <w:rPr>
          <w:rFonts w:ascii="Times New Roman"/>
          <w:b w:val="false"/>
          <w:i w:val="false"/>
          <w:color w:val="000000"/>
          <w:sz w:val="28"/>
        </w:rPr>
        <w:t xml:space="preserve">
      1) new electric capacities are created and put into operation after January 1, 2021 in the zone of the unified electric power system of the Republic of Kazakhstan, which has and (or) will have an uncovered shortage of electric power; </w:t>
      </w:r>
    </w:p>
    <w:bookmarkEnd w:id="17"/>
    <w:bookmarkStart w:name="z20" w:id="18"/>
    <w:p>
      <w:pPr>
        <w:spacing w:after="0"/>
        <w:ind w:left="0"/>
        <w:jc w:val="both"/>
      </w:pPr>
      <w:r>
        <w:rPr>
          <w:rFonts w:ascii="Times New Roman"/>
          <w:b w:val="false"/>
          <w:i w:val="false"/>
          <w:color w:val="000000"/>
          <w:sz w:val="28"/>
        </w:rPr>
        <w:t xml:space="preserve">
      2) commercial gas is used or will be used as a fuel for production of electric power at the newly created electric power facilities; </w:t>
      </w:r>
    </w:p>
    <w:bookmarkEnd w:id="18"/>
    <w:bookmarkStart w:name="z21" w:id="19"/>
    <w:p>
      <w:pPr>
        <w:spacing w:after="0"/>
        <w:ind w:left="0"/>
        <w:jc w:val="both"/>
      </w:pPr>
      <w:r>
        <w:rPr>
          <w:rFonts w:ascii="Times New Roman"/>
          <w:b w:val="false"/>
          <w:i w:val="false"/>
          <w:color w:val="000000"/>
          <w:sz w:val="28"/>
        </w:rPr>
        <w:t xml:space="preserve">
      3) new ly created electric power facilities are connected to automatic power control and have a regulation range of at least twenty percent of the installed capacity. </w:t>
      </w:r>
    </w:p>
    <w:bookmarkEnd w:id="19"/>
    <w:bookmarkStart w:name="z22" w:id="20"/>
    <w:p>
      <w:pPr>
        <w:spacing w:after="0"/>
        <w:ind w:left="0"/>
        <w:jc w:val="left"/>
      </w:pPr>
      <w:r>
        <w:rPr>
          <w:rFonts w:ascii="Times New Roman"/>
          <w:b/>
          <w:i w:val="false"/>
          <w:color w:val="000000"/>
        </w:rPr>
        <w:t xml:space="preserve"> Chapter 2. Procedure for inclusion of consumers in the list of power plants </w:t>
      </w:r>
    </w:p>
    <w:bookmarkEnd w:id="20"/>
    <w:bookmarkStart w:name="z23" w:id="21"/>
    <w:p>
      <w:pPr>
        <w:spacing w:after="0"/>
        <w:ind w:left="0"/>
        <w:jc w:val="both"/>
      </w:pPr>
      <w:r>
        <w:rPr>
          <w:rFonts w:ascii="Times New Roman"/>
          <w:b w:val="false"/>
          <w:i w:val="false"/>
          <w:color w:val="000000"/>
          <w:sz w:val="28"/>
        </w:rPr>
        <w:t xml:space="preserve">
      4. The energy producing organization (hereinafter referred to as the applicant) in paper form submits an application for inclusion of consumers (energy producing organizations) in the list of power plants in the form according to the appendix to these Rules to the authorized body with the attachment of technical specifications received or agreed with the system operator for connection to a unified electric power system of the Republic of Kazakhstan, containing the conditions for connecting new electric power facilities to automated control. </w:t>
      </w:r>
    </w:p>
    <w:bookmarkEnd w:id="21"/>
    <w:bookmarkStart w:name="z24" w:id="22"/>
    <w:p>
      <w:pPr>
        <w:spacing w:after="0"/>
        <w:ind w:left="0"/>
        <w:jc w:val="both"/>
      </w:pPr>
      <w:r>
        <w:rPr>
          <w:rFonts w:ascii="Times New Roman"/>
          <w:b w:val="false"/>
          <w:i w:val="false"/>
          <w:color w:val="000000"/>
          <w:sz w:val="28"/>
        </w:rPr>
        <w:t>
      5. The authorized body, in the process of accepting the documents specified in paragraph 4 of these Rules, checks them for completeness.</w:t>
      </w:r>
    </w:p>
    <w:bookmarkEnd w:id="22"/>
    <w:bookmarkStart w:name="z25" w:id="23"/>
    <w:p>
      <w:pPr>
        <w:spacing w:after="0"/>
        <w:ind w:left="0"/>
        <w:jc w:val="both"/>
      </w:pPr>
      <w:r>
        <w:rPr>
          <w:rFonts w:ascii="Times New Roman"/>
          <w:b w:val="false"/>
          <w:i w:val="false"/>
          <w:color w:val="000000"/>
          <w:sz w:val="28"/>
        </w:rPr>
        <w:t xml:space="preserve">
      6. If the applicant submits an incomplete package of documents, the authorized body returns them for revision. </w:t>
      </w:r>
    </w:p>
    <w:bookmarkEnd w:id="23"/>
    <w:bookmarkStart w:name="z26" w:id="24"/>
    <w:p>
      <w:pPr>
        <w:spacing w:after="0"/>
        <w:ind w:left="0"/>
        <w:jc w:val="both"/>
      </w:pPr>
      <w:r>
        <w:rPr>
          <w:rFonts w:ascii="Times New Roman"/>
          <w:b w:val="false"/>
          <w:i w:val="false"/>
          <w:color w:val="000000"/>
          <w:sz w:val="28"/>
        </w:rPr>
        <w:t>
      7. If the applicant submits a complete package of documents, the authorized body within 30 (thirty) calendar days considers them for compliance with the requirements of these Rules and the criteria specified in paragraph 3 of these Rules.</w:t>
      </w:r>
    </w:p>
    <w:bookmarkEnd w:id="24"/>
    <w:bookmarkStart w:name="z27" w:id="25"/>
    <w:p>
      <w:pPr>
        <w:spacing w:after="0"/>
        <w:ind w:left="0"/>
        <w:jc w:val="both"/>
      </w:pPr>
      <w:r>
        <w:rPr>
          <w:rFonts w:ascii="Times New Roman"/>
          <w:b w:val="false"/>
          <w:i w:val="false"/>
          <w:color w:val="000000"/>
          <w:sz w:val="28"/>
        </w:rPr>
        <w:t>
      8. If the submitted documents do not meet the requirements of these Rules and the criteria specified in paragraph 3 of these Rules, the authorized body, within the period specified in paragraph 7 of these Rules, prepares a notification in any form and sends it to the applicant indicating the reasons for the return.</w:t>
      </w:r>
    </w:p>
    <w:bookmarkEnd w:id="25"/>
    <w:bookmarkStart w:name="z28" w:id="26"/>
    <w:p>
      <w:pPr>
        <w:spacing w:after="0"/>
        <w:ind w:left="0"/>
        <w:jc w:val="both"/>
      </w:pPr>
      <w:r>
        <w:rPr>
          <w:rFonts w:ascii="Times New Roman"/>
          <w:b w:val="false"/>
          <w:i w:val="false"/>
          <w:color w:val="000000"/>
          <w:sz w:val="28"/>
        </w:rPr>
        <w:t>
      9. The applicant, within 10 (ten) working days from the date of receipt of the notification after the elimination of the comments of the authorized body, re-submits the documents specified in paragraph 4 of these Rules.</w:t>
      </w:r>
    </w:p>
    <w:bookmarkEnd w:id="26"/>
    <w:bookmarkStart w:name="z29" w:id="27"/>
    <w:p>
      <w:pPr>
        <w:spacing w:after="0"/>
        <w:ind w:left="0"/>
        <w:jc w:val="both"/>
      </w:pPr>
      <w:r>
        <w:rPr>
          <w:rFonts w:ascii="Times New Roman"/>
          <w:b w:val="false"/>
          <w:i w:val="false"/>
          <w:color w:val="000000"/>
          <w:sz w:val="28"/>
        </w:rPr>
        <w:t>
      10. In case of re-submission of documents, the authorized body considers them within the time period specified in paragraph 7 of these Rules.</w:t>
      </w:r>
    </w:p>
    <w:bookmarkEnd w:id="27"/>
    <w:bookmarkStart w:name="z30" w:id="28"/>
    <w:p>
      <w:pPr>
        <w:spacing w:after="0"/>
        <w:ind w:left="0"/>
        <w:jc w:val="both"/>
      </w:pPr>
      <w:r>
        <w:rPr>
          <w:rFonts w:ascii="Times New Roman"/>
          <w:b w:val="false"/>
          <w:i w:val="false"/>
          <w:color w:val="000000"/>
          <w:sz w:val="28"/>
        </w:rPr>
        <w:t xml:space="preserve">
      11. When the submitted documents comply with the requirements of these Rules and the criteria specified in paragraph 3 of these Rules, the authorized body forms a list of power plants with the inclusion of a legal entity in it and shall approve it in accordance with </w:t>
      </w:r>
      <w:r>
        <w:rPr>
          <w:rFonts w:ascii="Times New Roman"/>
          <w:b w:val="false"/>
          <w:i w:val="false"/>
          <w:color w:val="000000"/>
          <w:sz w:val="28"/>
          <w:u w:val="single"/>
        </w:rPr>
        <w:t>subparagraph 446)</w:t>
      </w:r>
      <w:r>
        <w:rPr>
          <w:rFonts w:ascii="Times New Roman"/>
          <w:b w:val="false"/>
          <w:i w:val="false"/>
          <w:color w:val="000000"/>
          <w:sz w:val="28"/>
        </w:rPr>
        <w:t xml:space="preserve"> of paragraph 15 of the Regulation.</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Energy of the Republic of Kazakhstan dated 14.10.2024 № 368 (shall enter into force upon expiry of ten calendar days after the day of its first official publication).</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12. Introduction of changes and (or) additions to the approved list of power plants is carried out by the authorized body no more than once a quarter in accordance with these Rules.</w:t>
      </w:r>
    </w:p>
    <w:bookmarkEnd w:id="29"/>
    <w:bookmarkStart w:name="z32" w:id="30"/>
    <w:p>
      <w:pPr>
        <w:spacing w:after="0"/>
        <w:ind w:left="0"/>
        <w:jc w:val="left"/>
      </w:pPr>
      <w:r>
        <w:rPr>
          <w:rFonts w:ascii="Times New Roman"/>
          <w:b/>
          <w:i w:val="false"/>
          <w:color w:val="000000"/>
        </w:rPr>
        <w:t xml:space="preserve"> Chapter 3. Final provisions</w:t>
      </w:r>
    </w:p>
    <w:bookmarkEnd w:id="30"/>
    <w:bookmarkStart w:name="z33" w:id="31"/>
    <w:p>
      <w:pPr>
        <w:spacing w:after="0"/>
        <w:ind w:left="0"/>
        <w:jc w:val="both"/>
      </w:pPr>
      <w:r>
        <w:rPr>
          <w:rFonts w:ascii="Times New Roman"/>
          <w:b w:val="false"/>
          <w:i w:val="false"/>
          <w:color w:val="000000"/>
          <w:sz w:val="28"/>
        </w:rPr>
        <w:t xml:space="preserve">
      13. After the commissioning of new electric power facilities within 10 (ten) years between the consumer included in the list of power plants and the system operator, an agreement is annually concluded for provision of services for regulation of electric power at a price equal to the average weighted contractual price of acquisition of these services by the system operator for the year preceding the calendar year of the conclusion of the contract, within the regulation range of at least twenty percent of the installed capacity for an increase or decrease. </w:t>
      </w:r>
    </w:p>
    <w:bookmarkEnd w:id="31"/>
    <w:bookmarkStart w:name="z34" w:id="32"/>
    <w:p>
      <w:pPr>
        <w:spacing w:after="0"/>
        <w:ind w:left="0"/>
        <w:jc w:val="both"/>
      </w:pPr>
      <w:r>
        <w:rPr>
          <w:rFonts w:ascii="Times New Roman"/>
          <w:b w:val="false"/>
          <w:i w:val="false"/>
          <w:color w:val="000000"/>
          <w:sz w:val="28"/>
        </w:rPr>
        <w:t>
      14. The energy producing organization ensures that the power plant is connected to the automatic frequency and power control system in accordance with the technical specifications issued by the system operator.</w:t>
      </w:r>
    </w:p>
    <w:bookmarkEnd w:id="32"/>
    <w:bookmarkStart w:name="z35" w:id="33"/>
    <w:p>
      <w:pPr>
        <w:spacing w:after="0"/>
        <w:ind w:left="0"/>
        <w:jc w:val="both"/>
      </w:pPr>
      <w:r>
        <w:rPr>
          <w:rFonts w:ascii="Times New Roman"/>
          <w:b w:val="false"/>
          <w:i w:val="false"/>
          <w:color w:val="000000"/>
          <w:sz w:val="28"/>
        </w:rPr>
        <w:t xml:space="preserve">
      15. The energy producing organization provides a regulation range of the power plant connected to the automatic frequency and power control system in the amount of at least twenty percent of the installed capacity for loading or unloading. </w:t>
      </w:r>
    </w:p>
    <w:bookmarkEnd w:id="33"/>
    <w:bookmarkStart w:name="z36" w:id="34"/>
    <w:p>
      <w:pPr>
        <w:spacing w:after="0"/>
        <w:ind w:left="0"/>
        <w:jc w:val="both"/>
      </w:pPr>
      <w:r>
        <w:rPr>
          <w:rFonts w:ascii="Times New Roman"/>
          <w:b w:val="false"/>
          <w:i w:val="false"/>
          <w:color w:val="000000"/>
          <w:sz w:val="28"/>
        </w:rPr>
        <w:t>
      16. The power plant, connected to the automatic frequency and power control system, provides a change in the entire regulation range in a time not exceeding 5 minutes.</w:t>
      </w:r>
    </w:p>
    <w:bookmarkEnd w:id="34"/>
    <w:bookmarkStart w:name="z37" w:id="35"/>
    <w:p>
      <w:pPr>
        <w:spacing w:after="0"/>
        <w:ind w:left="0"/>
        <w:jc w:val="both"/>
      </w:pPr>
      <w:r>
        <w:rPr>
          <w:rFonts w:ascii="Times New Roman"/>
          <w:b w:val="false"/>
          <w:i w:val="false"/>
          <w:color w:val="000000"/>
          <w:sz w:val="28"/>
        </w:rPr>
        <w:t>
      17. The number of cycles of changes in the generation power within the regulation range of the power plant is not limited.</w:t>
      </w:r>
    </w:p>
    <w:bookmarkEnd w:id="35"/>
    <w:bookmarkStart w:name="z38" w:id="36"/>
    <w:p>
      <w:pPr>
        <w:spacing w:after="0"/>
        <w:ind w:left="0"/>
        <w:jc w:val="both"/>
      </w:pPr>
      <w:r>
        <w:rPr>
          <w:rFonts w:ascii="Times New Roman"/>
          <w:b w:val="false"/>
          <w:i w:val="false"/>
          <w:color w:val="000000"/>
          <w:sz w:val="28"/>
        </w:rPr>
        <w:t>
      18. Power plants connected to the automatic frequency and power control system ensure the deviation of the actual power generation from the required value by no more than ± 1% Pnom.</w:t>
      </w:r>
    </w:p>
    <w:bookmarkEnd w:id="36"/>
    <w:bookmarkStart w:name="z39" w:id="37"/>
    <w:p>
      <w:pPr>
        <w:spacing w:after="0"/>
        <w:ind w:left="0"/>
        <w:jc w:val="both"/>
      </w:pPr>
      <w:r>
        <w:rPr>
          <w:rFonts w:ascii="Times New Roman"/>
          <w:b w:val="false"/>
          <w:i w:val="false"/>
          <w:color w:val="000000"/>
          <w:sz w:val="28"/>
        </w:rPr>
        <w:t xml:space="preserve">
      The "Pnom" means the installed capacity.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Rules for</w:t>
            </w:r>
            <w:r>
              <w:br/>
            </w:r>
            <w:r>
              <w:rPr>
                <w:rFonts w:ascii="Times New Roman"/>
                <w:b w:val="false"/>
                <w:i w:val="false"/>
                <w:color w:val="000000"/>
                <w:sz w:val="20"/>
              </w:rPr>
              <w:t xml:space="preserve">inclusion of consumers in the list of </w:t>
            </w:r>
            <w:r>
              <w:br/>
            </w:r>
            <w:r>
              <w:rPr>
                <w:rFonts w:ascii="Times New Roman"/>
                <w:b w:val="false"/>
                <w:i w:val="false"/>
                <w:color w:val="000000"/>
                <w:sz w:val="20"/>
              </w:rPr>
              <w:t xml:space="preserve">power plants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for inclusion of consumers (energy producing organizations) in the list of power plants </w:t>
      </w:r>
    </w:p>
    <w:p>
      <w:pPr>
        <w:spacing w:after="0"/>
        <w:ind w:left="0"/>
        <w:jc w:val="both"/>
      </w:pPr>
      <w:r>
        <w:rPr>
          <w:rFonts w:ascii="Times New Roman"/>
          <w:b w:val="false"/>
          <w:i w:val="false"/>
          <w:color w:val="000000"/>
          <w:sz w:val="28"/>
        </w:rPr>
        <w:t>
      I ask you to include the energy producing organization in the list: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name of project </w:t>
      </w:r>
    </w:p>
    <w:p>
      <w:pPr>
        <w:spacing w:after="0"/>
        <w:ind w:left="0"/>
        <w:jc w:val="both"/>
      </w:pPr>
      <w:r>
        <w:rPr>
          <w:rFonts w:ascii="Times New Roman"/>
          <w:b w:val="false"/>
          <w:i w:val="false"/>
          <w:color w:val="000000"/>
          <w:sz w:val="28"/>
        </w:rPr>
        <w:t>
      Name of legal entity: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Legal status and type of ownership:</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Founders: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Date of establishment: ____________________________________________</w:t>
      </w:r>
    </w:p>
    <w:p>
      <w:pPr>
        <w:spacing w:after="0"/>
        <w:ind w:left="0"/>
        <w:jc w:val="both"/>
      </w:pPr>
      <w:r>
        <w:rPr>
          <w:rFonts w:ascii="Times New Roman"/>
          <w:b w:val="false"/>
          <w:i w:val="false"/>
          <w:color w:val="000000"/>
          <w:sz w:val="28"/>
        </w:rPr>
        <w:t xml:space="preserve">
      Address, zip code, region, district, settlement, street, house, (office):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tel.: ____________</w:t>
      </w:r>
    </w:p>
    <w:p>
      <w:pPr>
        <w:spacing w:after="0"/>
        <w:ind w:left="0"/>
        <w:jc w:val="both"/>
      </w:pPr>
      <w:r>
        <w:rPr>
          <w:rFonts w:ascii="Times New Roman"/>
          <w:b w:val="false"/>
          <w:i w:val="false"/>
          <w:color w:val="000000"/>
          <w:sz w:val="28"/>
        </w:rPr>
        <w:t>
      fax: ____________</w:t>
      </w:r>
    </w:p>
    <w:p>
      <w:pPr>
        <w:spacing w:after="0"/>
        <w:ind w:left="0"/>
        <w:jc w:val="both"/>
      </w:pPr>
      <w:r>
        <w:rPr>
          <w:rFonts w:ascii="Times New Roman"/>
          <w:b w:val="false"/>
          <w:i w:val="false"/>
          <w:color w:val="000000"/>
          <w:sz w:val="28"/>
        </w:rPr>
        <w:t>
      email: ______________</w:t>
      </w:r>
    </w:p>
    <w:p>
      <w:pPr>
        <w:spacing w:after="0"/>
        <w:ind w:left="0"/>
        <w:jc w:val="both"/>
      </w:pPr>
      <w:r>
        <w:rPr>
          <w:rFonts w:ascii="Times New Roman"/>
          <w:b w:val="false"/>
          <w:i w:val="false"/>
          <w:color w:val="000000"/>
          <w:sz w:val="28"/>
        </w:rPr>
        <w:t>
      web-site: ____________</w:t>
      </w:r>
    </w:p>
    <w:p>
      <w:pPr>
        <w:spacing w:after="0"/>
        <w:ind w:left="0"/>
        <w:jc w:val="both"/>
      </w:pPr>
      <w:r>
        <w:rPr>
          <w:rFonts w:ascii="Times New Roman"/>
          <w:b w:val="false"/>
          <w:i w:val="false"/>
          <w:color w:val="000000"/>
          <w:sz w:val="28"/>
        </w:rPr>
        <w:t xml:space="preserve">
      Bank details, settlement account, foreign currency account, bank individual code, business identification number: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Received and not repaid tenge and foreign currency loans: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Type of activity: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Actual number of workers: _____________, including:</w:t>
      </w:r>
    </w:p>
    <w:p>
      <w:pPr>
        <w:spacing w:after="0"/>
        <w:ind w:left="0"/>
        <w:jc w:val="both"/>
      </w:pPr>
      <w:r>
        <w:rPr>
          <w:rFonts w:ascii="Times New Roman"/>
          <w:b w:val="false"/>
          <w:i w:val="false"/>
          <w:color w:val="000000"/>
          <w:sz w:val="28"/>
        </w:rPr>
        <w:t>
      operational staff ______________________;</w:t>
      </w:r>
    </w:p>
    <w:p>
      <w:pPr>
        <w:spacing w:after="0"/>
        <w:ind w:left="0"/>
        <w:jc w:val="both"/>
      </w:pPr>
      <w:r>
        <w:rPr>
          <w:rFonts w:ascii="Times New Roman"/>
          <w:b w:val="false"/>
          <w:i w:val="false"/>
          <w:color w:val="000000"/>
          <w:sz w:val="28"/>
        </w:rPr>
        <w:t>
      administrative and managerial staff ______________________.</w:t>
      </w:r>
    </w:p>
    <w:p>
      <w:pPr>
        <w:spacing w:after="0"/>
        <w:ind w:left="0"/>
        <w:jc w:val="both"/>
      </w:pPr>
      <w:r>
        <w:rPr>
          <w:rFonts w:ascii="Times New Roman"/>
          <w:b w:val="false"/>
          <w:i w:val="false"/>
          <w:color w:val="000000"/>
          <w:sz w:val="28"/>
        </w:rPr>
        <w:t>
      Description of the project tasks: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end effect of commissioning of new electric power facilities: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General information about the introduced or being introduced new capacity*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enterprise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date of event (month, year)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date of event (month, year)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(mln.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parameters of the main generating equipment to be commissioned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Installed electric power capacity, (MW)</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Installed thermal power, (Gcal / h)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the numerical values of the table parameters are reflected with an accuracy of tenths.</w:t>
      </w:r>
    </w:p>
    <w:p>
      <w:pPr>
        <w:spacing w:after="0"/>
        <w:ind w:left="0"/>
        <w:jc w:val="left"/>
      </w:pPr>
      <w:r>
        <w:rPr>
          <w:rFonts w:ascii="Times New Roman"/>
          <w:b/>
          <w:i w:val="false"/>
          <w:color w:val="000000"/>
        </w:rPr>
        <w:t xml:space="preserve"> Information on parameters of power plant (indicate the name)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Installed capacity,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available capacity,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Maneuverable power volume,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specific consumption of equivalent fuel for release**</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(MW)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Thermal (Gcal / h)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Electric (MW)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(Gcal / 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Electricity (grammes of equivalent fuel /kWh)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power (grammes of equivalent fuel / Gcal)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 - numerical values of the table parameters are reflected with an accuracy of tenths; </w:t>
      </w:r>
    </w:p>
    <w:p>
      <w:pPr>
        <w:spacing w:after="0"/>
        <w:ind w:left="0"/>
        <w:jc w:val="both"/>
      </w:pPr>
      <w:r>
        <w:rPr>
          <w:rFonts w:ascii="Times New Roman"/>
          <w:b w:val="false"/>
          <w:i w:val="false"/>
          <w:color w:val="000000"/>
          <w:sz w:val="28"/>
        </w:rPr>
        <w:t xml:space="preserve">
      ** - in the nominal operating mode of the power plant. </w:t>
      </w:r>
    </w:p>
    <w:p>
      <w:pPr>
        <w:spacing w:after="0"/>
        <w:ind w:left="0"/>
        <w:jc w:val="left"/>
      </w:pPr>
      <w:r>
        <w:rPr>
          <w:rFonts w:ascii="Times New Roman"/>
          <w:b/>
          <w:i w:val="false"/>
          <w:color w:val="000000"/>
        </w:rPr>
        <w:t xml:space="preserve"> Power plant indicators*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(year)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indicators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value of the specific consumption of equivalent fuel for supply of electric energy of the power plant (grammes of equivalent fuel / kWh)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value of the specific consumption of equivalent fuel for supply of thermal energy of the power plant</w:t>
            </w:r>
          </w:p>
          <w:p>
            <w:pPr>
              <w:spacing w:after="20"/>
              <w:ind w:left="20"/>
              <w:jc w:val="both"/>
            </w:pPr>
            <w:r>
              <w:rPr>
                <w:rFonts w:ascii="Times New Roman"/>
                <w:b w:val="false"/>
                <w:i w:val="false"/>
                <w:color w:val="000000"/>
                <w:sz w:val="20"/>
              </w:rPr>
              <w:t>
(kgoe / Gcal)</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value of the available electric capacity of the main generating equipment being commissioned (MW)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life of the main generating equipment put into operation (remaining at the end of the period) (year)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value of nitrogen oxide emissions from a power plant (mg / m3)**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value of emissions of sulfur oxides from a power plant (mg / m3)**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 numerical values of the table parameters are reflected with an accuracy of tenths.</w:t>
      </w:r>
    </w:p>
    <w:p>
      <w:pPr>
        <w:spacing w:after="0"/>
        <w:ind w:left="0"/>
        <w:jc w:val="both"/>
      </w:pPr>
      <w:r>
        <w:rPr>
          <w:rFonts w:ascii="Times New Roman"/>
          <w:b w:val="false"/>
          <w:i w:val="false"/>
          <w:color w:val="000000"/>
          <w:sz w:val="28"/>
        </w:rPr>
        <w:t>
      ** - target indicators for these indicators are set taking into account the requirements of the environmental legislation of the Republic of Kazakhstan.</w:t>
      </w:r>
    </w:p>
    <w:p>
      <w:pPr>
        <w:spacing w:after="0"/>
        <w:ind w:left="0"/>
        <w:jc w:val="both"/>
      </w:pPr>
      <w:r>
        <w:rPr>
          <w:rFonts w:ascii="Times New Roman"/>
          <w:b w:val="false"/>
          <w:i w:val="false"/>
          <w:color w:val="000000"/>
          <w:sz w:val="28"/>
        </w:rPr>
        <w:t>
      Note: Explanation of abbreviations:</w:t>
      </w:r>
    </w:p>
    <w:p>
      <w:pPr>
        <w:spacing w:after="0"/>
        <w:ind w:left="0"/>
        <w:jc w:val="both"/>
      </w:pPr>
      <w:r>
        <w:rPr>
          <w:rFonts w:ascii="Times New Roman"/>
          <w:b w:val="false"/>
          <w:i w:val="false"/>
          <w:color w:val="000000"/>
          <w:sz w:val="28"/>
        </w:rPr>
        <w:t>
      MW - megawatt;</w:t>
      </w:r>
    </w:p>
    <w:p>
      <w:pPr>
        <w:spacing w:after="0"/>
        <w:ind w:left="0"/>
        <w:jc w:val="both"/>
      </w:pPr>
      <w:r>
        <w:rPr>
          <w:rFonts w:ascii="Times New Roman"/>
          <w:b w:val="false"/>
          <w:i w:val="false"/>
          <w:color w:val="000000"/>
          <w:sz w:val="28"/>
        </w:rPr>
        <w:t>
      mln.tenge - million tenge;</w:t>
      </w:r>
    </w:p>
    <w:p>
      <w:pPr>
        <w:spacing w:after="0"/>
        <w:ind w:left="0"/>
        <w:jc w:val="both"/>
      </w:pPr>
      <w:r>
        <w:rPr>
          <w:rFonts w:ascii="Times New Roman"/>
          <w:b w:val="false"/>
          <w:i w:val="false"/>
          <w:color w:val="000000"/>
          <w:sz w:val="28"/>
        </w:rPr>
        <w:t>
      Gcal / h - gigacalorie / hour;</w:t>
      </w:r>
    </w:p>
    <w:p>
      <w:pPr>
        <w:spacing w:after="0"/>
        <w:ind w:left="0"/>
        <w:jc w:val="both"/>
      </w:pPr>
      <w:r>
        <w:rPr>
          <w:rFonts w:ascii="Times New Roman"/>
          <w:b w:val="false"/>
          <w:i w:val="false"/>
          <w:color w:val="000000"/>
          <w:sz w:val="28"/>
        </w:rPr>
        <w:t>
      grammes of equivalent fuel / kWh - gram of equivalent fuel / kilowatt * hour;</w:t>
      </w:r>
    </w:p>
    <w:p>
      <w:pPr>
        <w:spacing w:after="0"/>
        <w:ind w:left="0"/>
        <w:jc w:val="both"/>
      </w:pPr>
      <w:r>
        <w:rPr>
          <w:rFonts w:ascii="Times New Roman"/>
          <w:b w:val="false"/>
          <w:i w:val="false"/>
          <w:color w:val="000000"/>
          <w:sz w:val="28"/>
        </w:rPr>
        <w:t>
      grammes of equivalent fuel / Gcal - gram of equivalent fuel / gigacalorie;</w:t>
      </w:r>
    </w:p>
    <w:p>
      <w:pPr>
        <w:spacing w:after="0"/>
        <w:ind w:left="0"/>
        <w:jc w:val="both"/>
      </w:pPr>
      <w:r>
        <w:rPr>
          <w:rFonts w:ascii="Times New Roman"/>
          <w:b w:val="false"/>
          <w:i w:val="false"/>
          <w:color w:val="000000"/>
          <w:sz w:val="28"/>
        </w:rPr>
        <w:t xml:space="preserve">
      kgoe / Gcal - kilogram of equivalent fuel / gigacalorie; </w:t>
      </w:r>
    </w:p>
    <w:p>
      <w:pPr>
        <w:spacing w:after="0"/>
        <w:ind w:left="0"/>
        <w:jc w:val="both"/>
      </w:pPr>
      <w:r>
        <w:rPr>
          <w:rFonts w:ascii="Times New Roman"/>
          <w:b w:val="false"/>
          <w:i w:val="false"/>
          <w:color w:val="000000"/>
          <w:sz w:val="28"/>
        </w:rPr>
        <w:t xml:space="preserve">
      mg / m3 - milligram / cubic meter.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