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33ce" w14:textId="f323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issuance of protection obligations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2, 2020 No. 78. Registered with the Ministry of Justice of the Republic of Kazakhstan on April 6, 2020 № 20307.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Pursuant to subparagraph 16) of Article 10 of the Law of the Republic of Kazakhstan “On the Protection and Use of Historical and Cultural Heritage Sites”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Culture and Sports of the Republic of Kazakhstan dated 31.12.2021 No. 419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issuance of protection obligations.</w:t>
      </w:r>
    </w:p>
    <w:p>
      <w:pPr>
        <w:spacing w:after="0"/>
        <w:ind w:left="0"/>
        <w:jc w:val="both"/>
      </w:pPr>
      <w:r>
        <w:rPr>
          <w:rFonts w:ascii="Times New Roman"/>
          <w:b w:val="false"/>
          <w:i w:val="false"/>
          <w:color w:val="000000"/>
          <w:sz w:val="28"/>
        </w:rPr>
        <w:t>
      2. To recognize as invalid the order of the Minister of Culture and Sports of the Republic of Kazakhstan dated February 27, 2015 No. 74 "On approval of the Rules for issuing protection obligations for monuments of history and culture" (registered with the Register of State Registration of Regulatory Legal Acts under No. 10677, published on April 17, 2015 in the information and legal system "Adіlet").</w:t>
      </w:r>
    </w:p>
    <w:p>
      <w:pPr>
        <w:spacing w:after="0"/>
        <w:ind w:left="0"/>
        <w:jc w:val="both"/>
      </w:pPr>
      <w:r>
        <w:rPr>
          <w:rFonts w:ascii="Times New Roman"/>
          <w:b w:val="false"/>
          <w:i w:val="false"/>
          <w:color w:val="000000"/>
          <w:sz w:val="28"/>
        </w:rPr>
        <w:t>
      3. In accordance with the procedure established by the legislation, the Department for Culture and Art of the Ministry of Culture and Sports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two working days after the entry into force of this order, place on the Internet resource of the Ministry of Culture and Sports of the Republic of Kazakhstan;</w:t>
      </w:r>
    </w:p>
    <w:p>
      <w:pPr>
        <w:spacing w:after="0"/>
        <w:ind w:left="0"/>
        <w:jc w:val="both"/>
      </w:pPr>
      <w:r>
        <w:rPr>
          <w:rFonts w:ascii="Times New Roman"/>
          <w:b w:val="false"/>
          <w:i w:val="false"/>
          <w:color w:val="000000"/>
          <w:sz w:val="28"/>
        </w:rPr>
        <w:t>
      3) within two working days after the implementation of measures stipulated by this paragraph, submit information on the implementation of measures to the Department of Legal Service of the Ministry of Culture and Sports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2, 2020 № 78</w:t>
            </w:r>
          </w:p>
        </w:tc>
      </w:tr>
    </w:tbl>
    <w:p>
      <w:pPr>
        <w:spacing w:after="0"/>
        <w:ind w:left="0"/>
        <w:jc w:val="left"/>
      </w:pPr>
      <w:r>
        <w:rPr>
          <w:rFonts w:ascii="Times New Roman"/>
          <w:b/>
          <w:i w:val="false"/>
          <w:color w:val="000000"/>
        </w:rPr>
        <w:t xml:space="preserve"> Rules for issuance of protection obligations</w:t>
      </w:r>
    </w:p>
    <w:p>
      <w:pPr>
        <w:spacing w:after="0"/>
        <w:ind w:left="0"/>
        <w:jc w:val="both"/>
      </w:pPr>
      <w:r>
        <w:rPr>
          <w:rFonts w:ascii="Times New Roman"/>
          <w:b w:val="false"/>
          <w:i w:val="false"/>
          <w:color w:val="ff0000"/>
          <w:sz w:val="28"/>
        </w:rPr>
        <w:t>
      Footnote. Rules - as amended by the order of the Minister of Culture and Sports of the Republic of Kazakhstan dated 31.12.2021 No. 419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issuance of protection obligations have been developed pursuant to subparagraph 16) of Article 10 of the Law of the Republic of Kazakhstan “On the Protection and Use of Historical and Cultural Heritage Sites” (hereinafter referred to as the Law) and determine the procedure for issuing protection obligations (hereinafter referred to as protection obligations).</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protection obligation - a document recording the condition of a historical and cultural monument at the time of execution of this document and the conditions of maintenance of the historical and cultural monument by the owner or user of the history and culture monument;</w:t>
      </w:r>
    </w:p>
    <w:p>
      <w:pPr>
        <w:spacing w:after="0"/>
        <w:ind w:left="0"/>
        <w:jc w:val="both"/>
      </w:pPr>
      <w:r>
        <w:rPr>
          <w:rFonts w:ascii="Times New Roman"/>
          <w:b w:val="false"/>
          <w:i w:val="false"/>
          <w:color w:val="000000"/>
          <w:sz w:val="28"/>
        </w:rPr>
        <w:t>
      2) owner - an individual or legal entity exercising the right of ownership, use and disposal of a history and culture monument, with the exception of the right to eliminate it independently;</w:t>
      </w:r>
    </w:p>
    <w:p>
      <w:pPr>
        <w:spacing w:after="0"/>
        <w:ind w:left="0"/>
        <w:jc w:val="both"/>
      </w:pPr>
      <w:r>
        <w:rPr>
          <w:rFonts w:ascii="Times New Roman"/>
          <w:b w:val="false"/>
          <w:i w:val="false"/>
          <w:color w:val="000000"/>
          <w:sz w:val="28"/>
        </w:rPr>
        <w:t>
      3) user - an individual or legal entity who, in accordance with the Law, is granted the right to use a history and culture monument on the basis of an agreement with its owner.</w:t>
      </w:r>
    </w:p>
    <w:p>
      <w:pPr>
        <w:spacing w:after="0"/>
        <w:ind w:left="0"/>
        <w:jc w:val="left"/>
      </w:pPr>
      <w:r>
        <w:rPr>
          <w:rFonts w:ascii="Times New Roman"/>
          <w:b/>
          <w:i w:val="false"/>
          <w:color w:val="000000"/>
        </w:rPr>
        <w:t xml:space="preserve"> Chapter 2. Procedure for issuance of protection obligations </w:t>
      </w:r>
    </w:p>
    <w:p>
      <w:pPr>
        <w:spacing w:after="0"/>
        <w:ind w:left="0"/>
        <w:jc w:val="both"/>
      </w:pPr>
      <w:r>
        <w:rPr>
          <w:rFonts w:ascii="Times New Roman"/>
          <w:b w:val="false"/>
          <w:i w:val="false"/>
          <w:color w:val="000000"/>
          <w:sz w:val="28"/>
        </w:rPr>
        <w:t>
      3. Protection obligations shall be drawn up and issued to individuals and legal entities who are owners and users of buildings and objects included in the State lists of historical and cultural monuments.</w:t>
      </w:r>
    </w:p>
    <w:p>
      <w:pPr>
        <w:spacing w:after="0"/>
        <w:ind w:left="0"/>
        <w:jc w:val="both"/>
      </w:pPr>
      <w:r>
        <w:rPr>
          <w:rFonts w:ascii="Times New Roman"/>
          <w:b w:val="false"/>
          <w:i w:val="false"/>
          <w:color w:val="000000"/>
          <w:sz w:val="28"/>
        </w:rPr>
        <w:t>
      4. Protection obligations shall be drawn up and issued by local executive bodies of oblasts, cities of republican status, the capital (hereinafter referred to as local executive bodies) to the owner and user of a history and culture monument within a month from the date of receipt of the final decision on giving the history and culture monument the corresponding status.</w:t>
      </w:r>
    </w:p>
    <w:p>
      <w:pPr>
        <w:spacing w:after="0"/>
        <w:ind w:left="0"/>
        <w:jc w:val="both"/>
      </w:pPr>
      <w:r>
        <w:rPr>
          <w:rFonts w:ascii="Times New Roman"/>
          <w:b w:val="false"/>
          <w:i w:val="false"/>
          <w:color w:val="000000"/>
          <w:sz w:val="28"/>
        </w:rPr>
        <w:t>
      Protection obligations shall be drawn up and issued by local executive authorities in accordance with the form of the Appendix to these Rules.</w:t>
      </w:r>
    </w:p>
    <w:p>
      <w:pPr>
        <w:spacing w:after="0"/>
        <w:ind w:left="0"/>
        <w:jc w:val="both"/>
      </w:pPr>
      <w:r>
        <w:rPr>
          <w:rFonts w:ascii="Times New Roman"/>
          <w:b w:val="false"/>
          <w:i w:val="false"/>
          <w:color w:val="000000"/>
          <w:sz w:val="28"/>
        </w:rPr>
        <w:t>
      5. If a history and culture monument is in the common shared ownership of several individuals and (or) legal entities, the protection obligations shall be drawn up and issued to each of them separately and shall be subject to fulfillment by each of the owners of their obligations.</w:t>
      </w:r>
    </w:p>
    <w:p>
      <w:pPr>
        <w:spacing w:after="0"/>
        <w:ind w:left="0"/>
        <w:jc w:val="both"/>
      </w:pPr>
      <w:r>
        <w:rPr>
          <w:rFonts w:ascii="Times New Roman"/>
          <w:b w:val="false"/>
          <w:i w:val="false"/>
          <w:color w:val="000000"/>
          <w:sz w:val="28"/>
        </w:rPr>
        <w:t>
      6. Owners of history and culture monuments shall notify local executive bodies of considered or accomplished changes in property rights.</w:t>
      </w:r>
    </w:p>
    <w:p>
      <w:pPr>
        <w:spacing w:after="0"/>
        <w:ind w:left="0"/>
        <w:jc w:val="both"/>
      </w:pPr>
      <w:r>
        <w:rPr>
          <w:rFonts w:ascii="Times New Roman"/>
          <w:b w:val="false"/>
          <w:i w:val="false"/>
          <w:color w:val="000000"/>
          <w:sz w:val="28"/>
        </w:rPr>
        <w:t>
      7. If new information about history and culture monuments is revealed, local executive bodies shall make changes and/or additions to the protection obligation, executed in the form of minutes.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w:t>
            </w:r>
            <w:r>
              <w:br/>
            </w:r>
            <w:r>
              <w:rPr>
                <w:rFonts w:ascii="Times New Roman"/>
                <w:b w:val="false"/>
                <w:i w:val="false"/>
                <w:color w:val="000000"/>
                <w:sz w:val="20"/>
              </w:rPr>
              <w:t>for issuance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protection obligations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Protection obligation No. _____</w:t>
      </w:r>
    </w:p>
    <w:p>
      <w:pPr>
        <w:spacing w:after="0"/>
        <w:ind w:left="0"/>
        <w:jc w:val="both"/>
      </w:pPr>
      <w:r>
        <w:rPr>
          <w:rFonts w:ascii="Times New Roman"/>
          <w:b w:val="false"/>
          <w:i w:val="false"/>
          <w:color w:val="000000"/>
          <w:sz w:val="28"/>
        </w:rPr>
        <w:t>
      "___" ____________ 20__.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organization)</w:t>
      </w:r>
    </w:p>
    <w:p>
      <w:pPr>
        <w:spacing w:after="0"/>
        <w:ind w:left="0"/>
        <w:jc w:val="both"/>
      </w:pPr>
      <w:r>
        <w:rPr>
          <w:rFonts w:ascii="Times New Roman"/>
          <w:b w:val="false"/>
          <w:i w:val="false"/>
          <w:color w:val="000000"/>
          <w:sz w:val="28"/>
        </w:rPr>
        <w:t>
      represented by __________________________________________________________________</w:t>
      </w:r>
    </w:p>
    <w:p>
      <w:pPr>
        <w:spacing w:after="0"/>
        <w:ind w:left="0"/>
        <w:jc w:val="both"/>
      </w:pPr>
      <w:r>
        <w:rPr>
          <w:rFonts w:ascii="Times New Roman"/>
          <w:b w:val="false"/>
          <w:i w:val="false"/>
          <w:color w:val="000000"/>
          <w:sz w:val="28"/>
        </w:rPr>
        <w:t>
      surname, first name, patronymic (if any) of the person in charge, position</w:t>
      </w:r>
    </w:p>
    <w:p>
      <w:pPr>
        <w:spacing w:after="0"/>
        <w:ind w:left="0"/>
        <w:jc w:val="both"/>
      </w:pPr>
      <w:r>
        <w:rPr>
          <w:rFonts w:ascii="Times New Roman"/>
          <w:b w:val="false"/>
          <w:i w:val="false"/>
          <w:color w:val="000000"/>
          <w:sz w:val="28"/>
        </w:rPr>
        <w:t>
      drawing up the protection obligation)</w:t>
      </w:r>
    </w:p>
    <w:p>
      <w:pPr>
        <w:spacing w:after="0"/>
        <w:ind w:left="0"/>
        <w:jc w:val="both"/>
      </w:pPr>
      <w:r>
        <w:rPr>
          <w:rFonts w:ascii="Times New Roman"/>
          <w:b w:val="false"/>
          <w:i w:val="false"/>
          <w:color w:val="000000"/>
          <w:sz w:val="28"/>
        </w:rPr>
        <w:t>
      acting under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(No. and date of the document, validating the authority for drawing up)</w:t>
      </w:r>
    </w:p>
    <w:p>
      <w:pPr>
        <w:spacing w:after="0"/>
        <w:ind w:left="0"/>
        <w:jc w:val="both"/>
      </w:pPr>
      <w:r>
        <w:rPr>
          <w:rFonts w:ascii="Times New Roman"/>
          <w:b w:val="false"/>
          <w:i w:val="false"/>
          <w:color w:val="000000"/>
          <w:sz w:val="28"/>
        </w:rPr>
        <w:t>
      further named “____________________________________________”,</w:t>
      </w:r>
    </w:p>
    <w:p>
      <w:pPr>
        <w:spacing w:after="0"/>
        <w:ind w:left="0"/>
        <w:jc w:val="both"/>
      </w:pPr>
      <w:r>
        <w:rPr>
          <w:rFonts w:ascii="Times New Roman"/>
          <w:b w:val="false"/>
          <w:i w:val="false"/>
          <w:color w:val="000000"/>
          <w:sz w:val="28"/>
        </w:rPr>
        <w:t>
      on the one hand, (name of the local executive body)</w:t>
      </w:r>
    </w:p>
    <w:p>
      <w:pPr>
        <w:spacing w:after="0"/>
        <w:ind w:left="0"/>
        <w:jc w:val="both"/>
      </w:pPr>
      <w:r>
        <w:rPr>
          <w:rFonts w:ascii="Times New Roman"/>
          <w:b w:val="false"/>
          <w:i w:val="false"/>
          <w:color w:val="000000"/>
          <w:sz w:val="28"/>
        </w:rPr>
        <w:t>
      and ______________________________________________________________________</w:t>
      </w:r>
    </w:p>
    <w:p>
      <w:pPr>
        <w:spacing w:after="0"/>
        <w:ind w:left="0"/>
        <w:jc w:val="both"/>
      </w:pPr>
      <w:r>
        <w:rPr>
          <w:rFonts w:ascii="Times New Roman"/>
          <w:b w:val="false"/>
          <w:i w:val="false"/>
          <w:color w:val="000000"/>
          <w:sz w:val="28"/>
        </w:rPr>
        <w:t>
      (surname, first name, patronymic (if any) – for an individual),</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organization – for a legal entity)</w:t>
      </w:r>
    </w:p>
    <w:p>
      <w:pPr>
        <w:spacing w:after="0"/>
        <w:ind w:left="0"/>
        <w:jc w:val="both"/>
      </w:pPr>
      <w:r>
        <w:rPr>
          <w:rFonts w:ascii="Times New Roman"/>
          <w:b w:val="false"/>
          <w:i w:val="false"/>
          <w:color w:val="000000"/>
          <w:sz w:val="28"/>
        </w:rPr>
        <w:t xml:space="preserve">
      represented by ________________________________________________ </w:t>
      </w:r>
    </w:p>
    <w:p>
      <w:pPr>
        <w:spacing w:after="0"/>
        <w:ind w:left="0"/>
        <w:jc w:val="both"/>
      </w:pPr>
      <w:r>
        <w:rPr>
          <w:rFonts w:ascii="Times New Roman"/>
          <w:b w:val="false"/>
          <w:i w:val="false"/>
          <w:color w:val="000000"/>
          <w:sz w:val="28"/>
        </w:rPr>
        <w:t>
      (surname, first name, patronymic (if any) of the head of the organization),</w:t>
      </w:r>
    </w:p>
    <w:p>
      <w:pPr>
        <w:spacing w:after="0"/>
        <w:ind w:left="0"/>
        <w:jc w:val="both"/>
      </w:pPr>
      <w:r>
        <w:rPr>
          <w:rFonts w:ascii="Times New Roman"/>
          <w:b w:val="false"/>
          <w:i w:val="false"/>
          <w:color w:val="000000"/>
          <w:sz w:val="28"/>
        </w:rPr>
        <w:t>
      acting under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(No.and date of the document, validating the right of ownership/use of the history and culture monument)</w:t>
      </w:r>
    </w:p>
    <w:p>
      <w:pPr>
        <w:spacing w:after="0"/>
        <w:ind w:left="0"/>
        <w:jc w:val="both"/>
      </w:pPr>
      <w:r>
        <w:rPr>
          <w:rFonts w:ascii="Times New Roman"/>
          <w:b w:val="false"/>
          <w:i w:val="false"/>
          <w:color w:val="000000"/>
          <w:sz w:val="28"/>
        </w:rPr>
        <w:t>
      further named “owner/user”, on the other hand, collectively referred to as the “parties” in accordance with subparagraph 7) of Article 11 of the Law of the Republic of Kazakhstan “On the Protection and Use of Historical and Cultural Heritage Sites” (hereinafter – the Law) have drawn up this protection obligation,  recording the condition of the history and culture monument at the time of execution of this document  and conditions of maintenance of the history and culture monument by the owner or user.</w:t>
      </w:r>
    </w:p>
    <w:p>
      <w:pPr>
        <w:spacing w:after="0"/>
        <w:ind w:left="0"/>
        <w:jc w:val="both"/>
      </w:pPr>
      <w:r>
        <w:rPr>
          <w:rFonts w:ascii="Times New Roman"/>
          <w:b w:val="false"/>
          <w:i w:val="false"/>
          <w:color w:val="000000"/>
          <w:sz w:val="28"/>
        </w:rPr>
        <w:t>
      Data on the condition of the history and culture monument</w:t>
      </w:r>
    </w:p>
    <w:p>
      <w:pPr>
        <w:spacing w:after="0"/>
        <w:ind w:left="0"/>
        <w:jc w:val="both"/>
      </w:pPr>
      <w:r>
        <w:rPr>
          <w:rFonts w:ascii="Times New Roman"/>
          <w:b w:val="false"/>
          <w:i w:val="false"/>
          <w:color w:val="000000"/>
          <w:sz w:val="28"/>
        </w:rPr>
        <w:t>
      Name of the history and culture monument 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Information on the condition of the monument at the time of the protection obligation issuance </w:t>
      </w:r>
    </w:p>
    <w:p>
      <w:pPr>
        <w:spacing w:after="0"/>
        <w:ind w:left="0"/>
        <w:jc w:val="both"/>
      </w:pPr>
      <w:r>
        <w:rPr>
          <w:rFonts w:ascii="Times New Roman"/>
          <w:b w:val="false"/>
          <w:i w:val="false"/>
          <w:color w:val="000000"/>
          <w:sz w:val="28"/>
        </w:rPr>
        <w:t xml:space="preserve">
      (general description, internal and external architectural features and details of the history and </w:t>
      </w:r>
    </w:p>
    <w:p>
      <w:pPr>
        <w:spacing w:after="0"/>
        <w:ind w:left="0"/>
        <w:jc w:val="both"/>
      </w:pPr>
      <w:r>
        <w:rPr>
          <w:rFonts w:ascii="Times New Roman"/>
          <w:b w:val="false"/>
          <w:i w:val="false"/>
          <w:color w:val="000000"/>
          <w:sz w:val="28"/>
        </w:rPr>
        <w:t xml:space="preserve">
      culture monument, its technical condition and the condition of the surrounding  grounds, photo)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Conditions for maintaining the history and culture monument by the owner or user. Within the current legislation of the Republic of Kazakhstan, owners and users shall provide the following conditions for maintaining the history and culture monument:</w:t>
      </w:r>
    </w:p>
    <w:p>
      <w:pPr>
        <w:spacing w:after="0"/>
        <w:ind w:left="0"/>
        <w:jc w:val="both"/>
      </w:pPr>
      <w:r>
        <w:rPr>
          <w:rFonts w:ascii="Times New Roman"/>
          <w:b w:val="false"/>
          <w:i w:val="false"/>
          <w:color w:val="000000"/>
          <w:sz w:val="28"/>
        </w:rPr>
        <w:t>
      1) take measures to ensure the preservation of the history and culture monument;</w:t>
      </w:r>
    </w:p>
    <w:p>
      <w:pPr>
        <w:spacing w:after="0"/>
        <w:ind w:left="0"/>
        <w:jc w:val="both"/>
      </w:pPr>
      <w:r>
        <w:rPr>
          <w:rFonts w:ascii="Times New Roman"/>
          <w:b w:val="false"/>
          <w:i w:val="false"/>
          <w:color w:val="000000"/>
          <w:sz w:val="28"/>
        </w:rPr>
        <w:t xml:space="preserve">
      2) provide access to the history and culture monument for scientific, educational, tourist, information and educational purposes in the manner and within the limits established by agreements with local executive bodies, except for the cases provided for in part two of Article 16 of the Law; </w:t>
      </w:r>
    </w:p>
    <w:p>
      <w:pPr>
        <w:spacing w:after="0"/>
        <w:ind w:left="0"/>
        <w:jc w:val="both"/>
      </w:pPr>
      <w:r>
        <w:rPr>
          <w:rFonts w:ascii="Times New Roman"/>
          <w:b w:val="false"/>
          <w:i w:val="false"/>
          <w:color w:val="000000"/>
          <w:sz w:val="28"/>
        </w:rPr>
        <w:t>
      3) comply with fire safety requirements.</w:t>
      </w:r>
    </w:p>
    <w:p>
      <w:pPr>
        <w:spacing w:after="0"/>
        <w:ind w:left="0"/>
        <w:jc w:val="both"/>
      </w:pPr>
      <w:r>
        <w:rPr>
          <w:rFonts w:ascii="Times New Roman"/>
          <w:b w:val="false"/>
          <w:i w:val="false"/>
          <w:color w:val="000000"/>
          <w:sz w:val="28"/>
        </w:rPr>
        <w:t>
      Additional conditions of maintenance for owners:</w:t>
      </w:r>
    </w:p>
    <w:p>
      <w:pPr>
        <w:spacing w:after="0"/>
        <w:ind w:left="0"/>
        <w:jc w:val="both"/>
      </w:pPr>
      <w:r>
        <w:rPr>
          <w:rFonts w:ascii="Times New Roman"/>
          <w:b w:val="false"/>
          <w:i w:val="false"/>
          <w:color w:val="000000"/>
          <w:sz w:val="28"/>
        </w:rPr>
        <w:t>
      1) coordinate projects of scientific and restoration work on the history and culture monument with the authorized or local executive body, depending on the category of the history and culture monument;</w:t>
      </w:r>
    </w:p>
    <w:p>
      <w:pPr>
        <w:spacing w:after="0"/>
        <w:ind w:left="0"/>
        <w:jc w:val="both"/>
      </w:pPr>
      <w:r>
        <w:rPr>
          <w:rFonts w:ascii="Times New Roman"/>
          <w:b w:val="false"/>
          <w:i w:val="false"/>
          <w:color w:val="000000"/>
          <w:sz w:val="28"/>
        </w:rPr>
        <w:t xml:space="preserve">
      2) coordinate  the movement and alteration of the history and culture monument with the authorized body for the protection and use of historical and cultural heritage sites or the local executive body, depending on the category of the history and culture monument. By agreement of the parties, the protection obligation may provide for other conditions for the maintenance of the history and culture monument, depending on its type and climatic characteristics of the area in which it is located. Independent elimination of a history and culture monument shall be prohibited. </w:t>
      </w:r>
    </w:p>
    <w:p>
      <w:pPr>
        <w:spacing w:after="0"/>
        <w:ind w:left="0"/>
        <w:jc w:val="both"/>
      </w:pPr>
      <w:r>
        <w:rPr>
          <w:rFonts w:ascii="Times New Roman"/>
          <w:b w:val="false"/>
          <w:i w:val="false"/>
          <w:color w:val="000000"/>
          <w:sz w:val="28"/>
        </w:rPr>
        <w:t>
      Validity term of the protection obligation</w:t>
      </w:r>
    </w:p>
    <w:p>
      <w:pPr>
        <w:spacing w:after="0"/>
        <w:ind w:left="0"/>
        <w:jc w:val="both"/>
      </w:pPr>
      <w:r>
        <w:rPr>
          <w:rFonts w:ascii="Times New Roman"/>
          <w:b w:val="false"/>
          <w:i w:val="false"/>
          <w:color w:val="000000"/>
          <w:sz w:val="28"/>
        </w:rPr>
        <w:t>
      The protection obligation shall take effect from the day it is signed by the parties.</w:t>
      </w:r>
    </w:p>
    <w:p>
      <w:pPr>
        <w:spacing w:after="0"/>
        <w:ind w:left="0"/>
        <w:jc w:val="both"/>
      </w:pPr>
      <w:r>
        <w:rPr>
          <w:rFonts w:ascii="Times New Roman"/>
          <w:b w:val="false"/>
          <w:i w:val="false"/>
          <w:color w:val="000000"/>
          <w:sz w:val="28"/>
        </w:rPr>
        <w:t>
      The protection obligation shall terminate in the event of exclusion of the history and culture monument from the State lists of historical and cultural sites, and also in the event of a change in owners or users.</w:t>
      </w:r>
    </w:p>
    <w:p>
      <w:pPr>
        <w:spacing w:after="0"/>
        <w:ind w:left="0"/>
        <w:jc w:val="both"/>
      </w:pPr>
      <w:r>
        <w:rPr>
          <w:rFonts w:ascii="Times New Roman"/>
          <w:b w:val="false"/>
          <w:i w:val="false"/>
          <w:color w:val="000000"/>
          <w:sz w:val="28"/>
        </w:rPr>
        <w:t>
       Date of the protection obligation  registration: "___" ___________ 20__ .</w:t>
      </w:r>
    </w:p>
    <w:p>
      <w:pPr>
        <w:spacing w:after="0"/>
        <w:ind w:left="0"/>
        <w:jc w:val="both"/>
      </w:pPr>
      <w:r>
        <w:rPr>
          <w:rFonts w:ascii="Times New Roman"/>
          <w:b w:val="false"/>
          <w:i w:val="false"/>
          <w:color w:val="000000"/>
          <w:sz w:val="28"/>
        </w:rPr>
        <w:t>
      Originated by: ___________________________________________________________</w:t>
      </w:r>
    </w:p>
    <w:p>
      <w:pPr>
        <w:spacing w:after="0"/>
        <w:ind w:left="0"/>
        <w:jc w:val="both"/>
      </w:pPr>
      <w:r>
        <w:rPr>
          <w:rFonts w:ascii="Times New Roman"/>
          <w:b w:val="false"/>
          <w:i w:val="false"/>
          <w:color w:val="000000"/>
          <w:sz w:val="28"/>
        </w:rPr>
        <w:t>
      surname, first name, patronymic (if any), position)</w:t>
      </w:r>
    </w:p>
    <w:p>
      <w:pPr>
        <w:spacing w:after="0"/>
        <w:ind w:left="0"/>
        <w:jc w:val="both"/>
      </w:pPr>
      <w:r>
        <w:rPr>
          <w:rFonts w:ascii="Times New Roman"/>
          <w:b w:val="false"/>
          <w:i w:val="false"/>
          <w:color w:val="000000"/>
          <w:sz w:val="28"/>
        </w:rPr>
        <w:t>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executive bodies </w:t>
            </w:r>
          </w:p>
          <w:p>
            <w:pPr>
              <w:spacing w:after="20"/>
              <w:ind w:left="20"/>
              <w:jc w:val="both"/>
            </w:pPr>
            <w:r>
              <w:rPr>
                <w:rFonts w:ascii="Times New Roman"/>
                <w:b w:val="false"/>
                <w:i w:val="false"/>
                <w:color w:val="000000"/>
                <w:sz w:val="20"/>
              </w:rPr>
              <w:t>Full name of the organization</w:t>
            </w:r>
          </w:p>
          <w:p>
            <w:pPr>
              <w:spacing w:after="20"/>
              <w:ind w:left="20"/>
              <w:jc w:val="both"/>
            </w:pPr>
            <w:r>
              <w:rPr>
                <w:rFonts w:ascii="Times New Roman"/>
                <w:b w:val="false"/>
                <w:i w:val="false"/>
                <w:color w:val="000000"/>
                <w:sz w:val="20"/>
              </w:rPr>
              <w:t>BIN</w:t>
            </w:r>
          </w:p>
          <w:p>
            <w:pPr>
              <w:spacing w:after="20"/>
              <w:ind w:left="20"/>
              <w:jc w:val="both"/>
            </w:pPr>
            <w:r>
              <w:rPr>
                <w:rFonts w:ascii="Times New Roman"/>
                <w:b w:val="false"/>
                <w:i w:val="false"/>
                <w:color w:val="000000"/>
                <w:sz w:val="20"/>
              </w:rPr>
              <w:t>Address, contact details;</w:t>
            </w:r>
          </w:p>
          <w:p>
            <w:pPr>
              <w:spacing w:after="20"/>
              <w:ind w:left="20"/>
              <w:jc w:val="both"/>
            </w:pPr>
            <w:r>
              <w:rPr>
                <w:rFonts w:ascii="Times New Roman"/>
                <w:b w:val="false"/>
                <w:i w:val="false"/>
                <w:color w:val="000000"/>
                <w:sz w:val="20"/>
              </w:rPr>
              <w:t>Seal (if available)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Owner/User</w:t>
            </w:r>
          </w:p>
          <w:p>
            <w:pPr>
              <w:spacing w:after="20"/>
              <w:ind w:left="20"/>
              <w:jc w:val="both"/>
            </w:pPr>
            <w:r>
              <w:rPr>
                <w:rFonts w:ascii="Times New Roman"/>
                <w:b w:val="false"/>
                <w:i w:val="false"/>
                <w:color w:val="000000"/>
                <w:sz w:val="20"/>
              </w:rPr>
              <w:t>for individuals:</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IIN;</w:t>
            </w:r>
          </w:p>
          <w:p>
            <w:pPr>
              <w:spacing w:after="20"/>
              <w:ind w:left="20"/>
              <w:jc w:val="both"/>
            </w:pPr>
            <w:r>
              <w:rPr>
                <w:rFonts w:ascii="Times New Roman"/>
                <w:b w:val="false"/>
                <w:i w:val="false"/>
                <w:color w:val="000000"/>
                <w:sz w:val="20"/>
              </w:rPr>
              <w:t>Address, Contact details;</w:t>
            </w:r>
          </w:p>
          <w:p>
            <w:pPr>
              <w:spacing w:after="20"/>
              <w:ind w:left="20"/>
              <w:jc w:val="both"/>
            </w:pPr>
            <w:r>
              <w:rPr>
                <w:rFonts w:ascii="Times New Roman"/>
                <w:b w:val="false"/>
                <w:i w:val="false"/>
                <w:color w:val="000000"/>
                <w:sz w:val="20"/>
              </w:rPr>
              <w:t>for legal entities:</w:t>
            </w:r>
          </w:p>
          <w:p>
            <w:pPr>
              <w:spacing w:after="20"/>
              <w:ind w:left="20"/>
              <w:jc w:val="both"/>
            </w:pPr>
            <w:r>
              <w:rPr>
                <w:rFonts w:ascii="Times New Roman"/>
                <w:b w:val="false"/>
                <w:i w:val="false"/>
                <w:color w:val="000000"/>
                <w:sz w:val="20"/>
              </w:rPr>
              <w:t>Full name of the organization, BIN:</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of the head of the organization;</w:t>
            </w:r>
          </w:p>
          <w:p>
            <w:pPr>
              <w:spacing w:after="20"/>
              <w:ind w:left="20"/>
              <w:jc w:val="both"/>
            </w:pPr>
            <w:r>
              <w:rPr>
                <w:rFonts w:ascii="Times New Roman"/>
                <w:b w:val="false"/>
                <w:i w:val="false"/>
                <w:color w:val="000000"/>
                <w:sz w:val="20"/>
              </w:rPr>
              <w:t>Address, contact details;</w:t>
            </w:r>
          </w:p>
          <w:p>
            <w:pPr>
              <w:spacing w:after="20"/>
              <w:ind w:left="20"/>
              <w:jc w:val="both"/>
            </w:pPr>
            <w:r>
              <w:rPr>
                <w:rFonts w:ascii="Times New Roman"/>
                <w:b w:val="false"/>
                <w:i w:val="false"/>
                <w:color w:val="000000"/>
                <w:sz w:val="20"/>
              </w:rPr>
              <w:t>Seal (if available)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