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de27" w14:textId="ba2d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formation, processing, as well as the centralized collection and storage of information in electronic form, including the functioning of objects of informatization in the field of housing relations and HCS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March 31, 2020 № 172. Registered with the Ministry of Justice of the Republic of Kazakhstan on April 1, 2020 № 20245.</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10-24) of Article 10-2 of the Law of the Republic of Kazakhstan "On housing relations"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Industry and Construction of the Republic of Kazakhstan dated 05.02.2024 № 43 (shall come into force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Approve the attached regulations formation, processing, as well as centralized collection and storage of information in electronic form, including the functioning of objects of informatization in the field of housing relations and HCS.</w:t>
      </w:r>
    </w:p>
    <w:bookmarkEnd w:id="1"/>
    <w:bookmarkStart w:name="z3" w:id="2"/>
    <w:p>
      <w:pPr>
        <w:spacing w:after="0"/>
        <w:ind w:left="0"/>
        <w:jc w:val="both"/>
      </w:pPr>
      <w:r>
        <w:rPr>
          <w:rFonts w:ascii="Times New Roman"/>
          <w:b w:val="false"/>
          <w:i w:val="false"/>
          <w:color w:val="000000"/>
          <w:sz w:val="28"/>
        </w:rPr>
        <w:t>
      2. The Committee for Construction and HCS of the Ministry of Industry and Infrastructure Development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First Vice Minister of Industry and Infrastructure Development of the Republic of Kazakhstan.</w:t>
      </w:r>
    </w:p>
    <w:bookmarkEnd w:id="5"/>
    <w:bookmarkStart w:name="z7" w:id="6"/>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innovative and aerospace</w:t>
      </w:r>
    </w:p>
    <w:p>
      <w:pPr>
        <w:spacing w:after="0"/>
        <w:ind w:left="0"/>
        <w:jc w:val="both"/>
      </w:pPr>
      <w:r>
        <w:rPr>
          <w:rFonts w:ascii="Times New Roman"/>
          <w:b w:val="false"/>
          <w:i w:val="false"/>
          <w:color w:val="000000"/>
          <w:sz w:val="28"/>
        </w:rPr>
        <w:t>
      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dated March 31, 2020 № 172</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forformation, processing as well as centralized collection and storage of information in electronic form, including </w:t>
      </w:r>
      <w:r>
        <w:br/>
      </w:r>
      <w:r>
        <w:rPr>
          <w:rFonts w:ascii="Times New Roman"/>
          <w:b/>
          <w:i w:val="false"/>
          <w:color w:val="000000"/>
        </w:rPr>
        <w:t>the functioning of informatization facilities in the field of housing relations and housing and communal services</w:t>
      </w:r>
    </w:p>
    <w:p>
      <w:pPr>
        <w:spacing w:after="0"/>
        <w:ind w:left="0"/>
        <w:jc w:val="both"/>
      </w:pPr>
      <w:r>
        <w:rPr>
          <w:rFonts w:ascii="Times New Roman"/>
          <w:b w:val="false"/>
          <w:i w:val="false"/>
          <w:color w:val="ff0000"/>
          <w:sz w:val="28"/>
        </w:rPr>
        <w:t>
      Footnote. The rules as amended by the order of the Minister of Industry and Construction of the Republic of Kazakhstan dated 05.02.2024 № 43 (shall come into force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formation, processing, as well as centralized collection and storage of information in electronic form, including the functioning of informatization facilities in the field of housing relations and housing and communal services (hereinafter – the Rules) are developed in accordance with subparagraph 10-24) of Article 10-2 of the Law of the Republic of Kazakhstan "On housing relations" (hereinafter – the Law) and determine the procedure for:</w:t>
      </w:r>
    </w:p>
    <w:p>
      <w:pPr>
        <w:spacing w:after="0"/>
        <w:ind w:left="0"/>
        <w:jc w:val="both"/>
      </w:pPr>
      <w:r>
        <w:rPr>
          <w:rFonts w:ascii="Times New Roman"/>
          <w:b w:val="false"/>
          <w:i w:val="false"/>
          <w:color w:val="000000"/>
          <w:sz w:val="28"/>
        </w:rPr>
        <w:t>
      formation, processing of information in electronic form in informatization facilities in the field of housing relations and housing and communal services;</w:t>
      </w:r>
    </w:p>
    <w:p>
      <w:pPr>
        <w:spacing w:after="0"/>
        <w:ind w:left="0"/>
        <w:jc w:val="both"/>
      </w:pPr>
      <w:r>
        <w:rPr>
          <w:rFonts w:ascii="Times New Roman"/>
          <w:b w:val="false"/>
          <w:i w:val="false"/>
          <w:color w:val="000000"/>
          <w:sz w:val="28"/>
        </w:rPr>
        <w:t>
      centralized collection and storage of information in electronic form from informatization facilities in the field of housing relations and housing and communal services;</w:t>
      </w:r>
    </w:p>
    <w:p>
      <w:pPr>
        <w:spacing w:after="0"/>
        <w:ind w:left="0"/>
        <w:jc w:val="both"/>
      </w:pPr>
      <w:r>
        <w:rPr>
          <w:rFonts w:ascii="Times New Roman"/>
          <w:b w:val="false"/>
          <w:i w:val="false"/>
          <w:color w:val="000000"/>
          <w:sz w:val="28"/>
        </w:rPr>
        <w:t>
      functioning of informatization facilities in the field of housing relations and housing and communal services.</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communal services – services provided to the consumer, including water supply, wastewater disposal, gas supply, electricity supply, heat supply, waste removal, elevator maintenance, aimed at ensuring safe and comfortable living (residential) conditions);</w:t>
      </w:r>
    </w:p>
    <w:p>
      <w:pPr>
        <w:spacing w:after="0"/>
        <w:ind w:left="0"/>
        <w:jc w:val="both"/>
      </w:pPr>
      <w:r>
        <w:rPr>
          <w:rFonts w:ascii="Times New Roman"/>
          <w:b w:val="false"/>
          <w:i w:val="false"/>
          <w:color w:val="000000"/>
          <w:sz w:val="28"/>
        </w:rPr>
        <w:t>
      2) informatization facilities in the field of housing relations and housing and communal services (hereinafter – HCS informatization facilities) - electronic information resources and information systems in the field of housing relations and housing and communal services;</w:t>
      </w:r>
    </w:p>
    <w:p>
      <w:pPr>
        <w:spacing w:after="0"/>
        <w:ind w:left="0"/>
        <w:jc w:val="both"/>
      </w:pPr>
      <w:r>
        <w:rPr>
          <w:rFonts w:ascii="Times New Roman"/>
          <w:b w:val="false"/>
          <w:i w:val="false"/>
          <w:color w:val="000000"/>
          <w:sz w:val="28"/>
        </w:rPr>
        <w:t>
      3) information system of centralized collection and storage of electronic information resources in the field of housing relations and housing and communal services (hereinafter IS of centralized collection) is a state information system that ensures the consolidation of electronic information resources from housing and communal services IT facilities for the analysis of housing stock and housing and communal services and the implementation of state regulation in the sphere of housing relations and housing and communal services;</w:t>
      </w:r>
    </w:p>
    <w:p>
      <w:pPr>
        <w:spacing w:after="0"/>
        <w:ind w:left="0"/>
        <w:jc w:val="both"/>
      </w:pPr>
      <w:r>
        <w:rPr>
          <w:rFonts w:ascii="Times New Roman"/>
          <w:b w:val="false"/>
          <w:i w:val="false"/>
          <w:color w:val="000000"/>
          <w:sz w:val="28"/>
        </w:rPr>
        <w:t>
      4) entities engaged in the field of informatization of housing relations and housing and communal services (hereinafter - entities engaged in HCS informatization) - authorized body, local executive bodies, development center HCS,  natural monopoly entities, amalgamation property owners, simple partnerships, managing directors apartment building, management companies, entities engaged in service activities, owners of apartments, non-residential premises and other entities in the field of housing relations and housing and communal services;</w:t>
      </w:r>
    </w:p>
    <w:p>
      <w:pPr>
        <w:spacing w:after="0"/>
        <w:ind w:left="0"/>
        <w:jc w:val="both"/>
      </w:pPr>
      <w:r>
        <w:rPr>
          <w:rFonts w:ascii="Times New Roman"/>
          <w:b w:val="false"/>
          <w:i w:val="false"/>
          <w:color w:val="000000"/>
          <w:sz w:val="28"/>
        </w:rPr>
        <w:t>
      5) authorized body is the central executive body in charge of management and intersectoral coordination in the field of housing relations and housing and communal services.</w:t>
      </w:r>
    </w:p>
    <w:p>
      <w:pPr>
        <w:spacing w:after="0"/>
        <w:ind w:left="0"/>
        <w:jc w:val="left"/>
      </w:pPr>
      <w:r>
        <w:rPr>
          <w:rFonts w:ascii="Times New Roman"/>
          <w:b/>
          <w:i w:val="false"/>
          <w:color w:val="000000"/>
        </w:rPr>
        <w:t xml:space="preserve"> Chapter 2. Procedure for formation, processing of information in electronic form in HCS informatization facilities</w:t>
      </w:r>
    </w:p>
    <w:p>
      <w:pPr>
        <w:spacing w:after="0"/>
        <w:ind w:left="0"/>
        <w:jc w:val="both"/>
      </w:pPr>
      <w:r>
        <w:rPr>
          <w:rFonts w:ascii="Times New Roman"/>
          <w:b w:val="false"/>
          <w:i w:val="false"/>
          <w:color w:val="000000"/>
          <w:sz w:val="28"/>
        </w:rPr>
        <w:t>
      3. For the purposes of formation, processing of information in electronic form, HCS informatization facilities shall ensure automatization of processes between the entities engaged in HCS informatization within the framework of their competence.</w:t>
      </w:r>
    </w:p>
    <w:p>
      <w:pPr>
        <w:spacing w:after="0"/>
        <w:ind w:left="0"/>
        <w:jc w:val="both"/>
      </w:pPr>
      <w:r>
        <w:rPr>
          <w:rFonts w:ascii="Times New Roman"/>
          <w:b w:val="false"/>
          <w:i w:val="false"/>
          <w:color w:val="000000"/>
          <w:sz w:val="28"/>
        </w:rPr>
        <w:t>
      4. Created and (or) developed HCS informatization facilities shall ensure maintenance of information depending on the competence of the entity engaged in HCS informatization and the functional of the HCS informatization facility:</w:t>
      </w:r>
    </w:p>
    <w:p>
      <w:pPr>
        <w:spacing w:after="0"/>
        <w:ind w:left="0"/>
        <w:jc w:val="both"/>
      </w:pPr>
      <w:r>
        <w:rPr>
          <w:rFonts w:ascii="Times New Roman"/>
          <w:b w:val="false"/>
          <w:i w:val="false"/>
          <w:color w:val="000000"/>
          <w:sz w:val="28"/>
        </w:rPr>
        <w:t>
      in the field of housing relations and housing services:</w:t>
      </w:r>
    </w:p>
    <w:p>
      <w:pPr>
        <w:spacing w:after="0"/>
        <w:ind w:left="0"/>
        <w:jc w:val="both"/>
      </w:pPr>
      <w:r>
        <w:rPr>
          <w:rFonts w:ascii="Times New Roman"/>
          <w:b w:val="false"/>
          <w:i w:val="false"/>
          <w:color w:val="000000"/>
          <w:sz w:val="28"/>
        </w:rPr>
        <w:t>
      1) on the registration of multi-apartment residential buildings;</w:t>
      </w:r>
    </w:p>
    <w:p>
      <w:pPr>
        <w:spacing w:after="0"/>
        <w:ind w:left="0"/>
        <w:jc w:val="both"/>
      </w:pPr>
      <w:r>
        <w:rPr>
          <w:rFonts w:ascii="Times New Roman"/>
          <w:b w:val="false"/>
          <w:i w:val="false"/>
          <w:color w:val="000000"/>
          <w:sz w:val="28"/>
        </w:rPr>
        <w:t>
      2) information about a multi-apartment residential building, filled out by an association of property owners or a simple partnership, or by the manager of a multi-apartment residential building, or by a management company, or by a single representative of the owners of apartments and non-residential premises, in the case of direct joint management in accordance with Annex 1, 2 of the Rules for the management of the condominium object and the maintenance of the common property of the condominium object approved by the order of the Minister of National Economy of the Republic of Kazakhstan dated February 19, 2015 № 108 (registered in the Register of State Registration of Regulatory Legal Acts under № 10528);</w:t>
      </w:r>
    </w:p>
    <w:p>
      <w:pPr>
        <w:spacing w:after="0"/>
        <w:ind w:left="0"/>
        <w:jc w:val="both"/>
      </w:pPr>
      <w:r>
        <w:rPr>
          <w:rFonts w:ascii="Times New Roman"/>
          <w:b w:val="false"/>
          <w:i w:val="false"/>
          <w:color w:val="000000"/>
          <w:sz w:val="28"/>
        </w:rPr>
        <w:t>
      3) on accounting for contributions from owners of apartments and non-residential premises for capital repairs to the condominium property;</w:t>
      </w:r>
    </w:p>
    <w:p>
      <w:pPr>
        <w:spacing w:after="0"/>
        <w:ind w:left="0"/>
        <w:jc w:val="both"/>
      </w:pPr>
      <w:r>
        <w:rPr>
          <w:rFonts w:ascii="Times New Roman"/>
          <w:b w:val="false"/>
          <w:i w:val="false"/>
          <w:color w:val="000000"/>
          <w:sz w:val="28"/>
        </w:rPr>
        <w:t>
      4) on planned measures for the maintenance and repair of common property in multi-apartment residential buildings;</w:t>
      </w:r>
    </w:p>
    <w:p>
      <w:pPr>
        <w:spacing w:after="0"/>
        <w:ind w:left="0"/>
        <w:jc w:val="both"/>
      </w:pPr>
      <w:r>
        <w:rPr>
          <w:rFonts w:ascii="Times New Roman"/>
          <w:b w:val="false"/>
          <w:i w:val="false"/>
          <w:color w:val="000000"/>
          <w:sz w:val="28"/>
        </w:rPr>
        <w:t>
      5) reports on the results of the activities of the property owners' association or simple partnership, or the manager of a multi-apartment residential building, or the management company responsible for the maintenance of a multi-apartment residential building;</w:t>
      </w:r>
    </w:p>
    <w:p>
      <w:pPr>
        <w:spacing w:after="0"/>
        <w:ind w:left="0"/>
        <w:jc w:val="both"/>
      </w:pPr>
      <w:r>
        <w:rPr>
          <w:rFonts w:ascii="Times New Roman"/>
          <w:b w:val="false"/>
          <w:i w:val="false"/>
          <w:color w:val="000000"/>
          <w:sz w:val="28"/>
        </w:rPr>
        <w:t>
      6) on meetings owners of apartments, non-residential premises of an apartment building, as well as minutes of the results of the meeting and voting;</w:t>
      </w:r>
    </w:p>
    <w:p>
      <w:pPr>
        <w:spacing w:after="0"/>
        <w:ind w:left="0"/>
        <w:jc w:val="both"/>
      </w:pPr>
      <w:r>
        <w:rPr>
          <w:rFonts w:ascii="Times New Roman"/>
          <w:b w:val="false"/>
          <w:i w:val="false"/>
          <w:color w:val="000000"/>
          <w:sz w:val="28"/>
        </w:rPr>
        <w:t>
      7) on the submission, processing and execution of applications for the management and maintenance of multi-apartment residential buildings;</w:t>
      </w:r>
    </w:p>
    <w:p>
      <w:pPr>
        <w:spacing w:after="0"/>
        <w:ind w:left="0"/>
        <w:jc w:val="both"/>
      </w:pPr>
      <w:r>
        <w:rPr>
          <w:rFonts w:ascii="Times New Roman"/>
          <w:b w:val="false"/>
          <w:i w:val="false"/>
          <w:color w:val="000000"/>
          <w:sz w:val="28"/>
        </w:rPr>
        <w:t>
      8) on contracts concluded between the entities engaged in HCS informatization;</w:t>
      </w:r>
    </w:p>
    <w:p>
      <w:pPr>
        <w:spacing w:after="0"/>
        <w:ind w:left="0"/>
        <w:jc w:val="both"/>
      </w:pPr>
      <w:r>
        <w:rPr>
          <w:rFonts w:ascii="Times New Roman"/>
          <w:b w:val="false"/>
          <w:i w:val="false"/>
          <w:color w:val="000000"/>
          <w:sz w:val="28"/>
        </w:rPr>
        <w:t>
      in the field of communal services:</w:t>
      </w:r>
    </w:p>
    <w:p>
      <w:pPr>
        <w:spacing w:after="0"/>
        <w:ind w:left="0"/>
        <w:jc w:val="both"/>
      </w:pPr>
      <w:r>
        <w:rPr>
          <w:rFonts w:ascii="Times New Roman"/>
          <w:b w:val="false"/>
          <w:i w:val="false"/>
          <w:color w:val="000000"/>
          <w:sz w:val="28"/>
        </w:rPr>
        <w:t>
      9) passport of the provider of communal services;</w:t>
      </w:r>
    </w:p>
    <w:p>
      <w:pPr>
        <w:spacing w:after="0"/>
        <w:ind w:left="0"/>
        <w:jc w:val="both"/>
      </w:pPr>
      <w:r>
        <w:rPr>
          <w:rFonts w:ascii="Times New Roman"/>
          <w:b w:val="false"/>
          <w:i w:val="false"/>
          <w:color w:val="000000"/>
          <w:sz w:val="28"/>
        </w:rPr>
        <w:t>
      10) on accounting of providers of communal services;</w:t>
      </w:r>
    </w:p>
    <w:p>
      <w:pPr>
        <w:spacing w:after="0"/>
        <w:ind w:left="0"/>
        <w:jc w:val="both"/>
      </w:pPr>
      <w:r>
        <w:rPr>
          <w:rFonts w:ascii="Times New Roman"/>
          <w:b w:val="false"/>
          <w:i w:val="false"/>
          <w:color w:val="000000"/>
          <w:sz w:val="28"/>
        </w:rPr>
        <w:t>
      11) on personal accounts of consumers of communal services;</w:t>
      </w:r>
    </w:p>
    <w:p>
      <w:pPr>
        <w:spacing w:after="0"/>
        <w:ind w:left="0"/>
        <w:jc w:val="both"/>
      </w:pPr>
      <w:r>
        <w:rPr>
          <w:rFonts w:ascii="Times New Roman"/>
          <w:b w:val="false"/>
          <w:i w:val="false"/>
          <w:color w:val="000000"/>
          <w:sz w:val="28"/>
        </w:rPr>
        <w:t>
      12) on the accounting of common house and individual utility metering devices;</w:t>
      </w:r>
    </w:p>
    <w:p>
      <w:pPr>
        <w:spacing w:after="0"/>
        <w:ind w:left="0"/>
        <w:jc w:val="both"/>
      </w:pPr>
      <w:r>
        <w:rPr>
          <w:rFonts w:ascii="Times New Roman"/>
          <w:b w:val="false"/>
          <w:i w:val="false"/>
          <w:color w:val="000000"/>
          <w:sz w:val="28"/>
        </w:rPr>
        <w:t>
      13) on the readings of utility metering devices;</w:t>
      </w:r>
    </w:p>
    <w:p>
      <w:pPr>
        <w:spacing w:after="0"/>
        <w:ind w:left="0"/>
        <w:jc w:val="both"/>
      </w:pPr>
      <w:r>
        <w:rPr>
          <w:rFonts w:ascii="Times New Roman"/>
          <w:b w:val="false"/>
          <w:i w:val="false"/>
          <w:color w:val="000000"/>
          <w:sz w:val="28"/>
        </w:rPr>
        <w:t>
      14) on the tariffing, billing, and payment of utility services;</w:t>
      </w:r>
    </w:p>
    <w:p>
      <w:pPr>
        <w:spacing w:after="0"/>
        <w:ind w:left="0"/>
        <w:jc w:val="both"/>
      </w:pPr>
      <w:r>
        <w:rPr>
          <w:rFonts w:ascii="Times New Roman"/>
          <w:b w:val="false"/>
          <w:i w:val="false"/>
          <w:color w:val="000000"/>
          <w:sz w:val="28"/>
        </w:rPr>
        <w:t>
      15) on utility networks: heat supply, water supply, water disposal, sewage treatment facilities, electricity supply, gas supply.</w:t>
      </w:r>
    </w:p>
    <w:p>
      <w:pPr>
        <w:spacing w:after="0"/>
        <w:ind w:left="0"/>
        <w:jc w:val="both"/>
      </w:pPr>
      <w:r>
        <w:rPr>
          <w:rFonts w:ascii="Times New Roman"/>
          <w:b w:val="false"/>
          <w:i w:val="false"/>
          <w:color w:val="000000"/>
          <w:sz w:val="28"/>
        </w:rPr>
        <w:t>
      5. The formation, processing, including ensuring the updating, completeness, and reliability of information in electronic form in HCS informatization facilities is carried out by entities engaged in HCS informatization, in accordance with legislation in the field of housing relations and housing and communal services through a personal account..</w:t>
      </w:r>
    </w:p>
    <w:p>
      <w:pPr>
        <w:spacing w:after="0"/>
        <w:ind w:left="0"/>
        <w:jc w:val="both"/>
      </w:pPr>
      <w:r>
        <w:rPr>
          <w:rFonts w:ascii="Times New Roman"/>
          <w:b w:val="false"/>
          <w:i w:val="false"/>
          <w:color w:val="000000"/>
          <w:sz w:val="28"/>
        </w:rPr>
        <w:t>
      A monthly report on the management of the condominium property and the maintenance of the common property of the condominium property shall be submitted by the chairperson of the property owners' association or a representative of the simple partnership, or the manager of the apartment building or the management company, or a temporary management company appointed by the housing inspectorate to the owners of apartments and of non-residential premises by the tenth day of the month following the reporting period, through information technology systems in the field of housing relations and housing and communal services, and shall be posted in publicly accessible places.</w:t>
      </w:r>
    </w:p>
    <w:p>
      <w:pPr>
        <w:spacing w:after="0"/>
        <w:ind w:left="0"/>
        <w:jc w:val="both"/>
      </w:pPr>
      <w:r>
        <w:rPr>
          <w:rFonts w:ascii="Times New Roman"/>
          <w:b w:val="false"/>
          <w:i w:val="false"/>
          <w:color w:val="000000"/>
          <w:sz w:val="28"/>
        </w:rPr>
        <w:t>
      Monthly reports are filled out in computerized form in accordance with the standard form of the contract for the provision of services for the management of condominium property and the maintenance of common property of the condominium, as well as the forms of monthly and annual reports on the management of condominium property and the maintenance of common property of condominium property, approved by the  order of the Acting Minister of Industry and Infrastructure Development of the Republic of Kazakhstan dated March 30, 2020 № 164 (registered in the Register of State Registration of Regulatory Legal Acts under № 20247), and subsequently transferred to the centralized collection system through integration to ensure storage and access by local executive bodies, as well as at the request of the chairman of the association of property owners or the authorized representative of a simple partnership or the manager of a multi-apartment residential building or the management company or the temporary management company appointed by the housing inspection to the owners of apartments, non-residential premises.</w:t>
      </w:r>
    </w:p>
    <w:p>
      <w:pPr>
        <w:spacing w:after="0"/>
        <w:ind w:left="0"/>
        <w:jc w:val="both"/>
      </w:pPr>
      <w:r>
        <w:rPr>
          <w:rFonts w:ascii="Times New Roman"/>
          <w:b w:val="false"/>
          <w:i w:val="false"/>
          <w:color w:val="000000"/>
          <w:sz w:val="28"/>
        </w:rPr>
        <w:t>
      If the entity engaged in HCS informatization does not own and/or possess an informatization object in the field of housing relations and housing and communal services, monthly reports shall be filled out in the centralized collection information system through the personal account upon registration.</w:t>
      </w:r>
    </w:p>
    <w:p>
      <w:pPr>
        <w:spacing w:after="0"/>
        <w:ind w:left="0"/>
        <w:jc w:val="both"/>
      </w:pPr>
      <w:r>
        <w:rPr>
          <w:rFonts w:ascii="Times New Roman"/>
          <w:b w:val="false"/>
          <w:i w:val="false"/>
          <w:color w:val="000000"/>
          <w:sz w:val="28"/>
        </w:rPr>
        <w:t>
      6. Access to theHCS informatizationfacility is provided by the entity engaged in HCS informatization that is its owner and/or possessor in accordance with the access agreement concluded between it and another entity engaged in HCS informatization.</w:t>
      </w:r>
    </w:p>
    <w:p>
      <w:pPr>
        <w:spacing w:after="0"/>
        <w:ind w:left="0"/>
        <w:jc w:val="both"/>
      </w:pPr>
      <w:r>
        <w:rPr>
          <w:rFonts w:ascii="Times New Roman"/>
          <w:b w:val="false"/>
          <w:i w:val="false"/>
          <w:color w:val="000000"/>
          <w:sz w:val="28"/>
        </w:rPr>
        <w:t>
      Owners of apartments and non-residential premises do not bear the costs of accessing information, in subparagraphs 2) and 5) of paragraph 4 of these Rules, in HCS informatization facilities in the field of housing relations and housing and communal services.</w:t>
      </w:r>
    </w:p>
    <w:p>
      <w:pPr>
        <w:spacing w:after="0"/>
        <w:ind w:left="0"/>
        <w:jc w:val="both"/>
      </w:pPr>
      <w:r>
        <w:rPr>
          <w:rFonts w:ascii="Times New Roman"/>
          <w:b w:val="false"/>
          <w:i w:val="false"/>
          <w:color w:val="000000"/>
          <w:sz w:val="28"/>
        </w:rPr>
        <w:t>
      7. The formation, processing, including ensuring the updating, completeness, and reliability of information entities engaged in HCS informatization is carried out on an ongoing basis, in electronic form, including with the attachment of electronic documents or copies of documents in electronic form.</w:t>
      </w:r>
    </w:p>
    <w:p>
      <w:pPr>
        <w:spacing w:after="0"/>
        <w:ind w:left="0"/>
        <w:jc w:val="both"/>
      </w:pPr>
      <w:r>
        <w:rPr>
          <w:rFonts w:ascii="Times New Roman"/>
          <w:b w:val="false"/>
          <w:i w:val="false"/>
          <w:color w:val="000000"/>
          <w:sz w:val="28"/>
        </w:rPr>
        <w:t>
      Documents created on paper are placed in HCS informatization facilities in the form of copies of documents in electronic form..</w:t>
      </w:r>
    </w:p>
    <w:p>
      <w:pPr>
        <w:spacing w:after="0"/>
        <w:ind w:left="0"/>
        <w:jc w:val="both"/>
      </w:pPr>
      <w:r>
        <w:rPr>
          <w:rFonts w:ascii="Times New Roman"/>
          <w:b w:val="false"/>
          <w:i w:val="false"/>
          <w:color w:val="000000"/>
          <w:sz w:val="28"/>
        </w:rPr>
        <w:t>
      8. Information under subparagraphs 5) and 6) of paragraph 4 of these Rules is posted in HCS informatization facilities after the entity engaged in HCS informatization has signed it with its electronic digital signature.</w:t>
      </w:r>
    </w:p>
    <w:p>
      <w:pPr>
        <w:spacing w:after="0"/>
        <w:ind w:left="0"/>
        <w:jc w:val="both"/>
      </w:pPr>
      <w:r>
        <w:rPr>
          <w:rFonts w:ascii="Times New Roman"/>
          <w:b w:val="false"/>
          <w:i w:val="false"/>
          <w:color w:val="000000"/>
          <w:sz w:val="28"/>
        </w:rPr>
        <w:t>
      9. The processing of information containing personal data is carried out by an entity engaged in HCS informatization, taking into account the requirements of legislation in the areas of informatization and personal data protection.</w:t>
      </w:r>
    </w:p>
    <w:p>
      <w:pPr>
        <w:spacing w:after="0"/>
        <w:ind w:left="0"/>
        <w:jc w:val="both"/>
      </w:pPr>
      <w:r>
        <w:rPr>
          <w:rFonts w:ascii="Times New Roman"/>
          <w:b w:val="false"/>
          <w:i w:val="false"/>
          <w:color w:val="000000"/>
          <w:sz w:val="28"/>
        </w:rPr>
        <w:t>
      10. The entity engaged in HCS informatization, which is the owner and/or proprietor of the HCS informatization facility, shall ensure the transfer of information from the HCS informatization facility to the centralized collection information system in accordance with Chapter 3 of these Rules.</w:t>
      </w:r>
    </w:p>
    <w:p>
      <w:pPr>
        <w:spacing w:after="0"/>
        <w:ind w:left="0"/>
        <w:jc w:val="left"/>
      </w:pPr>
      <w:r>
        <w:rPr>
          <w:rFonts w:ascii="Times New Roman"/>
          <w:b/>
          <w:i w:val="false"/>
          <w:color w:val="000000"/>
        </w:rPr>
        <w:t xml:space="preserve"> Chapter 3. Centralized collection and storage of information in electronic form in the centralized collection IS</w:t>
      </w:r>
    </w:p>
    <w:p>
      <w:pPr>
        <w:spacing w:after="0"/>
        <w:ind w:left="0"/>
        <w:jc w:val="both"/>
      </w:pPr>
      <w:r>
        <w:rPr>
          <w:rFonts w:ascii="Times New Roman"/>
          <w:b w:val="false"/>
          <w:i w:val="false"/>
          <w:color w:val="000000"/>
          <w:sz w:val="28"/>
        </w:rPr>
        <w:t xml:space="preserve">
      11. The authorized body shall designate the organization under its jurisdiction as the Administrator of the centralized collection of IS. </w:t>
      </w:r>
    </w:p>
    <w:p>
      <w:pPr>
        <w:spacing w:after="0"/>
        <w:ind w:left="0"/>
        <w:jc w:val="both"/>
      </w:pPr>
      <w:r>
        <w:rPr>
          <w:rFonts w:ascii="Times New Roman"/>
          <w:b w:val="false"/>
          <w:i w:val="false"/>
          <w:color w:val="000000"/>
          <w:sz w:val="28"/>
        </w:rPr>
        <w:t>
      The administrator provides methodological support for the functioning and formation of electronic information resources in the field of housing relations and housing and communal services, as well as the centralized collection, analysis, and storage of electronic information resources obtained from HCS informatization facilities, ensuring their safety and confidentiality.</w:t>
      </w:r>
    </w:p>
    <w:p>
      <w:pPr>
        <w:spacing w:after="0"/>
        <w:ind w:left="0"/>
        <w:jc w:val="both"/>
      </w:pPr>
      <w:r>
        <w:rPr>
          <w:rFonts w:ascii="Times New Roman"/>
          <w:b w:val="false"/>
          <w:i w:val="false"/>
          <w:color w:val="000000"/>
          <w:sz w:val="28"/>
        </w:rPr>
        <w:t>
      12. Information is entered into the centralized collection information system in the following ways:</w:t>
      </w:r>
    </w:p>
    <w:p>
      <w:pPr>
        <w:spacing w:after="0"/>
        <w:ind w:left="0"/>
        <w:jc w:val="both"/>
      </w:pPr>
      <w:r>
        <w:rPr>
          <w:rFonts w:ascii="Times New Roman"/>
          <w:b w:val="false"/>
          <w:i w:val="false"/>
          <w:color w:val="000000"/>
          <w:sz w:val="28"/>
        </w:rPr>
        <w:t>
      1) through a personal account;</w:t>
      </w:r>
    </w:p>
    <w:p>
      <w:pPr>
        <w:spacing w:after="0"/>
        <w:ind w:left="0"/>
        <w:jc w:val="both"/>
      </w:pPr>
      <w:r>
        <w:rPr>
          <w:rFonts w:ascii="Times New Roman"/>
          <w:b w:val="false"/>
          <w:i w:val="false"/>
          <w:color w:val="000000"/>
          <w:sz w:val="28"/>
        </w:rPr>
        <w:t>
      2) through interaction between other HCS informatization facilities and the centralized collection information system.</w:t>
      </w:r>
    </w:p>
    <w:p>
      <w:pPr>
        <w:spacing w:after="0"/>
        <w:ind w:left="0"/>
        <w:jc w:val="both"/>
      </w:pPr>
      <w:r>
        <w:rPr>
          <w:rFonts w:ascii="Times New Roman"/>
          <w:b w:val="false"/>
          <w:i w:val="false"/>
          <w:color w:val="000000"/>
          <w:sz w:val="28"/>
        </w:rPr>
        <w:t>
      13. Local executive bodies conduct an inventory of the housing stock and keep records of functioning multi-apartment residential buildings, filling in the summary information in the centralized collection information system in accordance with the mandatory fields specified in Annex to these Rules. The frequency of updating and confirming the final information in the centralized collection information system is at least once a year.</w:t>
      </w:r>
    </w:p>
    <w:p>
      <w:pPr>
        <w:spacing w:after="0"/>
        <w:ind w:left="0"/>
        <w:jc w:val="both"/>
      </w:pPr>
      <w:r>
        <w:rPr>
          <w:rFonts w:ascii="Times New Roman"/>
          <w:b w:val="false"/>
          <w:i w:val="false"/>
          <w:color w:val="000000"/>
          <w:sz w:val="28"/>
        </w:rPr>
        <w:t>
      14. When posting information through the interaction of other HCS informatization facilities with the centralized collection IS, the entity engaged in HCS informatization, which is the owner and/or proprietor of the HCS informatization facility, submits an application to the centralized collection IS for the registration and integration of the HCS informatization facility (hereinafter referred to as the application).</w:t>
      </w:r>
    </w:p>
    <w:p>
      <w:pPr>
        <w:spacing w:after="0"/>
        <w:ind w:left="0"/>
        <w:jc w:val="both"/>
      </w:pPr>
      <w:r>
        <w:rPr>
          <w:rFonts w:ascii="Times New Roman"/>
          <w:b w:val="false"/>
          <w:i w:val="false"/>
          <w:color w:val="000000"/>
          <w:sz w:val="28"/>
        </w:rPr>
        <w:t>
      15. Entities engaged in HCS informatization indicate their functions (competencies) in the centralized collection IS by selecting them from the reference book contained in the centralized collection IS. At the same time, if an entity engaged in HCS informatization carries out several types of activities related to different functions listed in the specified reference book, the entity engaged in HCS informatization shall indicate several functions in the centralized collection information system.</w:t>
      </w:r>
    </w:p>
    <w:p>
      <w:pPr>
        <w:spacing w:after="0"/>
        <w:ind w:left="0"/>
        <w:jc w:val="both"/>
      </w:pPr>
      <w:r>
        <w:rPr>
          <w:rFonts w:ascii="Times New Roman"/>
          <w:b w:val="false"/>
          <w:i w:val="false"/>
          <w:color w:val="000000"/>
          <w:sz w:val="28"/>
        </w:rPr>
        <w:t>
      16. The administrator of the centralized collection IS shall review the application within 5 working days and notify the entity engaged in HCS informatization, which is the owner and/or proprietor of the HCS informatization facility, of the approval or rejection of the application to the email address specified in the application.</w:t>
      </w:r>
    </w:p>
    <w:p>
      <w:pPr>
        <w:spacing w:after="0"/>
        <w:ind w:left="0"/>
        <w:jc w:val="both"/>
      </w:pPr>
      <w:r>
        <w:rPr>
          <w:rFonts w:ascii="Times New Roman"/>
          <w:b w:val="false"/>
          <w:i w:val="false"/>
          <w:color w:val="000000"/>
          <w:sz w:val="28"/>
        </w:rPr>
        <w:t>
      The administrator of the centralized collection information system shall reject the application if the information provided in the application is incomplete.</w:t>
      </w:r>
    </w:p>
    <w:p>
      <w:pPr>
        <w:spacing w:after="0"/>
        <w:ind w:left="0"/>
        <w:jc w:val="both"/>
      </w:pPr>
      <w:r>
        <w:rPr>
          <w:rFonts w:ascii="Times New Roman"/>
          <w:b w:val="false"/>
          <w:i w:val="false"/>
          <w:color w:val="000000"/>
          <w:sz w:val="28"/>
        </w:rPr>
        <w:t>
      17. Upon approval by the Administrator of the centralized collection IS, the authorized body shall enter into an agreement with the entity engaged in HCS informatization, which is the owner and/or proprietor of the HCS informatization facility, on the integration of the HCS informatization facility with the centralized collection system and shall conduct testing of the HCS informatization facility.</w:t>
      </w:r>
    </w:p>
    <w:p>
      <w:pPr>
        <w:spacing w:after="0"/>
        <w:ind w:left="0"/>
        <w:jc w:val="both"/>
      </w:pPr>
      <w:r>
        <w:rPr>
          <w:rFonts w:ascii="Times New Roman"/>
          <w:b w:val="false"/>
          <w:i w:val="false"/>
          <w:color w:val="000000"/>
          <w:sz w:val="28"/>
        </w:rPr>
        <w:t>
      18. When integrating the HCS informatization facility or the centralized collection IS with the informatization objects of the “electronic government” of a state body, the integration is carried out in accordance with the legislation on informatization of the Republic of Kazakhstan.</w:t>
      </w:r>
    </w:p>
    <w:p>
      <w:pPr>
        <w:spacing w:after="0"/>
        <w:ind w:left="0"/>
        <w:jc w:val="both"/>
      </w:pPr>
      <w:r>
        <w:rPr>
          <w:rFonts w:ascii="Times New Roman"/>
          <w:b w:val="false"/>
          <w:i w:val="false"/>
          <w:color w:val="000000"/>
          <w:sz w:val="28"/>
        </w:rPr>
        <w:t>
      19. Access to information and placement of information in the IS of centralized collection is provided to central state bodies, local executive bodies, other state bodies and utility providers through a personal account, in accordance with an agreement concluded with the authorized body.</w:t>
      </w:r>
    </w:p>
    <w:p>
      <w:pPr>
        <w:spacing w:after="0"/>
        <w:ind w:left="0"/>
        <w:jc w:val="both"/>
      </w:pPr>
      <w:r>
        <w:rPr>
          <w:rFonts w:ascii="Times New Roman"/>
          <w:b w:val="false"/>
          <w:i w:val="false"/>
          <w:color w:val="000000"/>
          <w:sz w:val="28"/>
        </w:rPr>
        <w:t>
      Entities engaged in informatization in the field of communal services that do not own and/or possess an HCS informatization facility shall keep records of the information specified in suparagraphs 9), 10), 12), 14) and 15) of paragraph 4 of these Rules in the centralized collection IS via personal account  upon registration in accordance with the agreement.</w:t>
      </w:r>
    </w:p>
    <w:p>
      <w:pPr>
        <w:spacing w:after="0"/>
        <w:ind w:left="0"/>
        <w:jc w:val="both"/>
      </w:pPr>
      <w:r>
        <w:rPr>
          <w:rFonts w:ascii="Times New Roman"/>
          <w:b w:val="false"/>
          <w:i w:val="false"/>
          <w:color w:val="000000"/>
          <w:sz w:val="28"/>
        </w:rPr>
        <w:t>
      20. The access rights of entities engaged in HCS informatization shall be terminated in the centralized collection IS in the following cases:</w:t>
      </w:r>
    </w:p>
    <w:p>
      <w:pPr>
        <w:spacing w:after="0"/>
        <w:ind w:left="0"/>
        <w:jc w:val="both"/>
      </w:pPr>
      <w:r>
        <w:rPr>
          <w:rFonts w:ascii="Times New Roman"/>
          <w:b w:val="false"/>
          <w:i w:val="false"/>
          <w:color w:val="000000"/>
          <w:sz w:val="28"/>
        </w:rPr>
        <w:t>
      1) expiration of the term for which access rights were granted in accordance with the agreement concluded with the authorized body;</w:t>
      </w:r>
    </w:p>
    <w:p>
      <w:pPr>
        <w:spacing w:after="0"/>
        <w:ind w:left="0"/>
        <w:jc w:val="both"/>
      </w:pPr>
      <w:r>
        <w:rPr>
          <w:rFonts w:ascii="Times New Roman"/>
          <w:b w:val="false"/>
          <w:i w:val="false"/>
          <w:color w:val="000000"/>
          <w:sz w:val="28"/>
        </w:rPr>
        <w:t>
      2) placement in the centralized collection IS of information about the revocation of access rights;</w:t>
      </w:r>
    </w:p>
    <w:p>
      <w:pPr>
        <w:spacing w:after="0"/>
        <w:ind w:left="0"/>
        <w:jc w:val="both"/>
      </w:pPr>
      <w:r>
        <w:rPr>
          <w:rFonts w:ascii="Times New Roman"/>
          <w:b w:val="false"/>
          <w:i w:val="false"/>
          <w:color w:val="000000"/>
          <w:sz w:val="28"/>
        </w:rPr>
        <w:t>
      3) placement in the centralized collection IS of information about the refusal of access rights by a person who was granted access rights to perform actions in the centralized collection IS on behalf of an entity engaged in HCS informatization;</w:t>
      </w:r>
    </w:p>
    <w:p>
      <w:pPr>
        <w:spacing w:after="0"/>
        <w:ind w:left="0"/>
        <w:jc w:val="both"/>
      </w:pPr>
      <w:r>
        <w:rPr>
          <w:rFonts w:ascii="Times New Roman"/>
          <w:b w:val="false"/>
          <w:i w:val="false"/>
          <w:color w:val="000000"/>
          <w:sz w:val="28"/>
        </w:rPr>
        <w:t>
      4) termination of the user's access rights to the centralized collection IS, who has granted authority to perform actions in the centralized collection IS on his behalf to another person;</w:t>
      </w:r>
    </w:p>
    <w:p>
      <w:pPr>
        <w:spacing w:after="0"/>
        <w:ind w:left="0"/>
        <w:jc w:val="both"/>
      </w:pPr>
      <w:r>
        <w:rPr>
          <w:rFonts w:ascii="Times New Roman"/>
          <w:b w:val="false"/>
          <w:i w:val="false"/>
          <w:color w:val="000000"/>
          <w:sz w:val="28"/>
        </w:rPr>
        <w:t>
      5) termination or identification of the absence of grounds on which a person was granted access rights;</w:t>
      </w:r>
    </w:p>
    <w:p>
      <w:pPr>
        <w:spacing w:after="0"/>
        <w:ind w:left="0"/>
        <w:jc w:val="both"/>
      </w:pPr>
      <w:r>
        <w:rPr>
          <w:rFonts w:ascii="Times New Roman"/>
          <w:b w:val="false"/>
          <w:i w:val="false"/>
          <w:color w:val="000000"/>
          <w:sz w:val="28"/>
        </w:rPr>
        <w:t>
      6) identification of the fact that an entity engaged in HCS informatization submitted inaccurate information in an application to the centralized collection IS;</w:t>
      </w:r>
    </w:p>
    <w:p>
      <w:pPr>
        <w:spacing w:after="0"/>
        <w:ind w:left="0"/>
        <w:jc w:val="both"/>
      </w:pPr>
      <w:r>
        <w:rPr>
          <w:rFonts w:ascii="Times New Roman"/>
          <w:b w:val="false"/>
          <w:i w:val="false"/>
          <w:color w:val="000000"/>
          <w:sz w:val="28"/>
        </w:rPr>
        <w:t>
      7) in other cases provided for by the legislation of the Republic of Kazakhstan.</w:t>
      </w:r>
    </w:p>
    <w:p>
      <w:pPr>
        <w:spacing w:after="0"/>
        <w:ind w:left="0"/>
        <w:jc w:val="both"/>
      </w:pPr>
      <w:r>
        <w:rPr>
          <w:rFonts w:ascii="Times New Roman"/>
          <w:b w:val="false"/>
          <w:i w:val="false"/>
          <w:color w:val="000000"/>
          <w:sz w:val="28"/>
        </w:rPr>
        <w:t>
      21. Entities engaged in HCS informatization have access to the open part of the centralized collection IS and to the information stored therein without undergoing registration procedures.</w:t>
      </w:r>
    </w:p>
    <w:p>
      <w:pPr>
        <w:spacing w:after="0"/>
        <w:ind w:left="0"/>
        <w:jc w:val="both"/>
      </w:pPr>
      <w:r>
        <w:rPr>
          <w:rFonts w:ascii="Times New Roman"/>
          <w:b w:val="false"/>
          <w:i w:val="false"/>
          <w:color w:val="000000"/>
          <w:sz w:val="28"/>
        </w:rPr>
        <w:t>
      22. Access to the closed part of the system and to the information stored therein is provided by granting functional capabilities in personal accounts designed for working in the centralized collection IS, and (or) using other informatization objects after completing the registration procedure and concluding an agreement with the authorized body.</w:t>
      </w:r>
    </w:p>
    <w:p>
      <w:pPr>
        <w:spacing w:after="0"/>
        <w:ind w:left="0"/>
        <w:jc w:val="both"/>
      </w:pPr>
      <w:r>
        <w:rPr>
          <w:rFonts w:ascii="Times New Roman"/>
          <w:b w:val="false"/>
          <w:i w:val="false"/>
          <w:color w:val="000000"/>
          <w:sz w:val="28"/>
        </w:rPr>
        <w:t>
      23. The storage of information in HCS informatization facilities is provided by entities engaged in HCS informatization and in the centralized collection IS by the authorized body.</w:t>
      </w:r>
    </w:p>
    <w:p>
      <w:pPr>
        <w:spacing w:after="0"/>
        <w:ind w:left="0"/>
        <w:jc w:val="both"/>
      </w:pPr>
      <w:r>
        <w:rPr>
          <w:rFonts w:ascii="Times New Roman"/>
          <w:b w:val="false"/>
          <w:i w:val="false"/>
          <w:color w:val="000000"/>
          <w:sz w:val="28"/>
        </w:rPr>
        <w:t>
      24. Entities engaged in HCS informatization shall transfer information to the centralized collection IS in compliance with the requirements of the legislation of the Republic of Kazakhstan in the areas of informatization, information security, and personal data protection.</w:t>
      </w:r>
    </w:p>
    <w:p>
      <w:pPr>
        <w:spacing w:after="0"/>
        <w:ind w:left="0"/>
        <w:jc w:val="both"/>
      </w:pPr>
      <w:r>
        <w:rPr>
          <w:rFonts w:ascii="Times New Roman"/>
          <w:b w:val="false"/>
          <w:i w:val="false"/>
          <w:color w:val="000000"/>
          <w:sz w:val="28"/>
        </w:rPr>
        <w:t>
      25. The authorized body or Administrator shall provide or disseminate, including transfer, information about entities engaged in HCS informatization, in compliance with the requirements of the legislation of the Republic of Kazakhstan in the areas of informatization, information security, and personal data protection.</w:t>
      </w:r>
    </w:p>
    <w:p>
      <w:pPr>
        <w:spacing w:after="0"/>
        <w:ind w:left="0"/>
        <w:jc w:val="left"/>
      </w:pPr>
      <w:r>
        <w:rPr>
          <w:rFonts w:ascii="Times New Roman"/>
          <w:b/>
          <w:i w:val="false"/>
          <w:color w:val="000000"/>
        </w:rPr>
        <w:t xml:space="preserve"> Chapter 4. Functioning of HCS informatization facilities </w:t>
      </w:r>
    </w:p>
    <w:p>
      <w:pPr>
        <w:spacing w:after="0"/>
        <w:ind w:left="0"/>
        <w:jc w:val="both"/>
      </w:pPr>
      <w:r>
        <w:rPr>
          <w:rFonts w:ascii="Times New Roman"/>
          <w:b w:val="false"/>
          <w:i w:val="false"/>
          <w:color w:val="000000"/>
          <w:sz w:val="28"/>
        </w:rPr>
        <w:t>
      26. To ensure the reliability and security of the functioning of HCS informatization facilities, the technical means used for storing, processing, and transmitting information are implemented in accordance with the legislation of the Republic of Kazakhstan in the areas of informatization, information security, and personal data protection, as well as the standards in force in the Republic of Kazakhstan.</w:t>
      </w:r>
    </w:p>
    <w:p>
      <w:pPr>
        <w:spacing w:after="0"/>
        <w:ind w:left="0"/>
        <w:jc w:val="both"/>
      </w:pPr>
      <w:r>
        <w:rPr>
          <w:rFonts w:ascii="Times New Roman"/>
          <w:b w:val="false"/>
          <w:i w:val="false"/>
          <w:color w:val="000000"/>
          <w:sz w:val="28"/>
        </w:rPr>
        <w:t>
      27. Voting by the owner of an apartment or non-residential premises is carried out through informatization facilities in the field of housing relations and housing and communal services, a cellular subscriber device, and using other methods not prohibited by the legislation of the Republic of Kazakhstan, with mandatory identification of the owner of the apartment or non-residential premises.</w:t>
      </w:r>
    </w:p>
    <w:p>
      <w:pPr>
        <w:spacing w:after="0"/>
        <w:ind w:left="0"/>
        <w:jc w:val="both"/>
      </w:pPr>
      <w:r>
        <w:rPr>
          <w:rFonts w:ascii="Times New Roman"/>
          <w:b w:val="false"/>
          <w:i w:val="false"/>
          <w:color w:val="000000"/>
          <w:sz w:val="28"/>
        </w:rPr>
        <w:t>
      The results of electronic voting are recorded using information technology in the field of housing relations and housing and communal services.</w:t>
      </w:r>
    </w:p>
    <w:p>
      <w:pPr>
        <w:spacing w:after="0"/>
        <w:ind w:left="0"/>
        <w:jc w:val="both"/>
      </w:pPr>
      <w:r>
        <w:rPr>
          <w:rFonts w:ascii="Times New Roman"/>
          <w:b w:val="false"/>
          <w:i w:val="false"/>
          <w:color w:val="000000"/>
          <w:sz w:val="28"/>
        </w:rPr>
        <w:t>
      When summarizing the results of the vote, the votes of the owners of apartments and non-residential premises at the meeting held on a roll-call basis and through an information technology object in the field of housing relations and housing and communal services, by means of a written survey and through an information technology object in the field of housing relations and housing and communal services, are taken into account.</w:t>
      </w:r>
    </w:p>
    <w:p>
      <w:pPr>
        <w:spacing w:after="0"/>
        <w:ind w:left="0"/>
        <w:jc w:val="both"/>
      </w:pPr>
      <w:r>
        <w:rPr>
          <w:rFonts w:ascii="Times New Roman"/>
          <w:b w:val="false"/>
          <w:i w:val="false"/>
          <w:color w:val="000000"/>
          <w:sz w:val="28"/>
        </w:rPr>
        <w:t>
      When creating an electronic document, the minutes of the meetings are stored in accordance with the Law of the Republic of Kazakhstan “On Electronic Documents and Electronic Digital Signatures.”</w:t>
      </w:r>
    </w:p>
    <w:p>
      <w:pPr>
        <w:spacing w:after="0"/>
        <w:ind w:left="0"/>
        <w:jc w:val="both"/>
      </w:pPr>
      <w:r>
        <w:rPr>
          <w:rFonts w:ascii="Times New Roman"/>
          <w:b w:val="false"/>
          <w:i w:val="false"/>
          <w:color w:val="000000"/>
          <w:sz w:val="28"/>
        </w:rPr>
        <w:t>
      28. The informatization facility in the field of housing relations and housing stock provides access to an information resource for verifying electronic digital signatures in electronic documents, including those printed on paper.</w:t>
      </w:r>
    </w:p>
    <w:p>
      <w:pPr>
        <w:spacing w:after="0"/>
        <w:ind w:left="0"/>
        <w:jc w:val="both"/>
      </w:pPr>
      <w:r>
        <w:rPr>
          <w:rFonts w:ascii="Times New Roman"/>
          <w:b w:val="false"/>
          <w:i w:val="false"/>
          <w:color w:val="000000"/>
          <w:sz w:val="28"/>
        </w:rPr>
        <w:t>
      29. HCS informatization facilities are provided with the function of receiving and transmitting applications from consumers of utility services to utility service providers through integration with the centralized collection IS.</w:t>
      </w:r>
    </w:p>
    <w:p>
      <w:pPr>
        <w:spacing w:after="0"/>
        <w:ind w:left="0"/>
        <w:jc w:val="both"/>
      </w:pPr>
      <w:r>
        <w:rPr>
          <w:rFonts w:ascii="Times New Roman"/>
          <w:b w:val="false"/>
          <w:i w:val="false"/>
          <w:color w:val="000000"/>
          <w:sz w:val="28"/>
        </w:rPr>
        <w:t>
      30. An entity engaged in HCS informatization that has posted information through its personal account in the housing and utilities informatization facility receives an automatic notification confirming the posting of the information, with the date of receipt and transfer of the information recorded.</w:t>
      </w:r>
    </w:p>
    <w:p>
      <w:pPr>
        <w:spacing w:after="0"/>
        <w:ind w:left="0"/>
        <w:jc w:val="both"/>
      </w:pPr>
      <w:r>
        <w:rPr>
          <w:rFonts w:ascii="Times New Roman"/>
          <w:b w:val="false"/>
          <w:i w:val="false"/>
          <w:color w:val="000000"/>
          <w:sz w:val="28"/>
        </w:rPr>
        <w:t>
      31. The use of functionality in HCS informatization facilities is carried out in accordance with the access rights granted to subjects of informatization of housing and communal services.</w:t>
      </w:r>
    </w:p>
    <w:p>
      <w:pPr>
        <w:spacing w:after="0"/>
        <w:ind w:left="0"/>
        <w:jc w:val="both"/>
      </w:pPr>
      <w:r>
        <w:rPr>
          <w:rFonts w:ascii="Times New Roman"/>
          <w:b w:val="false"/>
          <w:i w:val="false"/>
          <w:color w:val="000000"/>
          <w:sz w:val="28"/>
        </w:rPr>
        <w:t>
      32. The centralized collection IS provide information to subjects of informatization of housing and communal services through integration, in accordance with the agreement concluded with the authorized body.</w:t>
      </w:r>
    </w:p>
    <w:p>
      <w:pPr>
        <w:spacing w:after="0"/>
        <w:ind w:left="0"/>
        <w:jc w:val="both"/>
      </w:pPr>
      <w:r>
        <w:rPr>
          <w:rFonts w:ascii="Times New Roman"/>
          <w:b w:val="false"/>
          <w:i w:val="false"/>
          <w:color w:val="000000"/>
          <w:sz w:val="28"/>
        </w:rPr>
        <w:t>
      33. HCS informatization facilities are ensured to operate continuously.</w:t>
      </w:r>
    </w:p>
    <w:p>
      <w:pPr>
        <w:spacing w:after="0"/>
        <w:ind w:left="0"/>
        <w:jc w:val="both"/>
      </w:pPr>
      <w:r>
        <w:rPr>
          <w:rFonts w:ascii="Times New Roman"/>
          <w:b w:val="false"/>
          <w:i w:val="false"/>
          <w:color w:val="000000"/>
          <w:sz w:val="28"/>
        </w:rPr>
        <w:t>
      34. The authorized body and the owner or possessor of the informatization facility shall ensure:</w:t>
      </w:r>
    </w:p>
    <w:p>
      <w:pPr>
        <w:spacing w:after="0"/>
        <w:ind w:left="0"/>
        <w:jc w:val="both"/>
      </w:pPr>
      <w:r>
        <w:rPr>
          <w:rFonts w:ascii="Times New Roman"/>
          <w:b w:val="false"/>
          <w:i w:val="false"/>
          <w:color w:val="000000"/>
          <w:sz w:val="28"/>
        </w:rPr>
        <w:t>
      1) uninterrupted year-round and round-the-clock operation of HCS informatization facilities;</w:t>
      </w:r>
    </w:p>
    <w:p>
      <w:pPr>
        <w:spacing w:after="0"/>
        <w:ind w:left="0"/>
        <w:jc w:val="both"/>
      </w:pPr>
      <w:r>
        <w:rPr>
          <w:rFonts w:ascii="Times New Roman"/>
          <w:b w:val="false"/>
          <w:i w:val="false"/>
          <w:color w:val="000000"/>
          <w:sz w:val="28"/>
        </w:rPr>
        <w:t>
      2) rapid (no more than one hour) restoration of the operability of HCS informatization facilities in the event of their failure;</w:t>
      </w:r>
    </w:p>
    <w:p>
      <w:pPr>
        <w:spacing w:after="0"/>
        <w:ind w:left="0"/>
        <w:jc w:val="both"/>
      </w:pPr>
      <w:r>
        <w:rPr>
          <w:rFonts w:ascii="Times New Roman"/>
          <w:b w:val="false"/>
          <w:i w:val="false"/>
          <w:color w:val="000000"/>
          <w:sz w:val="28"/>
        </w:rPr>
        <w:t>
      3) Continuous monitoring of events and the current status of the centralized collection IS and HCS informatization facilities, allowing for continuous tracking of the availability of the centralized collection IS hardware and software complex and the current status of equipment use, as well as immediate notification of owners and/or proprietors of HCS informatization facilities regarding the failure of the centralized collection IS.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formation, processing </w:t>
            </w:r>
            <w:r>
              <w:br/>
            </w:r>
            <w:r>
              <w:rPr>
                <w:rFonts w:ascii="Times New Roman"/>
                <w:b w:val="false"/>
                <w:i w:val="false"/>
                <w:color w:val="000000"/>
                <w:sz w:val="20"/>
              </w:rPr>
              <w:t xml:space="preserve">as well as centralized collection and storage </w:t>
            </w:r>
            <w:r>
              <w:br/>
            </w:r>
            <w:r>
              <w:rPr>
                <w:rFonts w:ascii="Times New Roman"/>
                <w:b w:val="false"/>
                <w:i w:val="false"/>
                <w:color w:val="000000"/>
                <w:sz w:val="20"/>
              </w:rPr>
              <w:t xml:space="preserve">of information in electronic form, including </w:t>
            </w:r>
            <w:r>
              <w:br/>
            </w:r>
            <w:r>
              <w:rPr>
                <w:rFonts w:ascii="Times New Roman"/>
                <w:b w:val="false"/>
                <w:i w:val="false"/>
                <w:color w:val="000000"/>
                <w:sz w:val="20"/>
              </w:rPr>
              <w:t xml:space="preserve">the functioning of informatization facilities </w:t>
            </w:r>
            <w:r>
              <w:br/>
            </w:r>
            <w:r>
              <w:rPr>
                <w:rFonts w:ascii="Times New Roman"/>
                <w:b w:val="false"/>
                <w:i w:val="false"/>
                <w:color w:val="000000"/>
                <w:sz w:val="20"/>
              </w:rPr>
              <w:t xml:space="preserve">in the field of housing relations and housing </w:t>
            </w:r>
            <w:r>
              <w:br/>
            </w:r>
            <w:r>
              <w:rPr>
                <w:rFonts w:ascii="Times New Roman"/>
                <w:b w:val="false"/>
                <w:i w:val="false"/>
                <w:color w:val="000000"/>
                <w:sz w:val="20"/>
              </w:rPr>
              <w:t>and communal services</w:t>
            </w:r>
          </w:p>
        </w:tc>
      </w:tr>
    </w:tbl>
    <w:bookmarkStart w:name="z102" w:id="7"/>
    <w:p>
      <w:pPr>
        <w:spacing w:after="0"/>
        <w:ind w:left="0"/>
        <w:jc w:val="left"/>
      </w:pPr>
      <w:r>
        <w:rPr>
          <w:rFonts w:ascii="Times New Roman"/>
          <w:b/>
          <w:i w:val="false"/>
          <w:color w:val="000000"/>
        </w:rPr>
        <w:t xml:space="preserve"> List </w:t>
      </w:r>
      <w:r>
        <w:br/>
      </w:r>
      <w:r>
        <w:rPr>
          <w:rFonts w:ascii="Times New Roman"/>
          <w:b/>
          <w:i w:val="false"/>
          <w:color w:val="000000"/>
        </w:rPr>
        <w:t xml:space="preserve">of mandatory fields of the Table for entering final data into the information system for centralized collection and </w:t>
      </w:r>
      <w:r>
        <w:br/>
      </w:r>
      <w:r>
        <w:rPr>
          <w:rFonts w:ascii="Times New Roman"/>
          <w:b/>
          <w:i w:val="false"/>
          <w:color w:val="000000"/>
        </w:rPr>
        <w:t xml:space="preserve">storage of electronic information resources in the field of housing relations and housing and communal services </w:t>
      </w:r>
      <w:r>
        <w:br/>
      </w:r>
      <w:r>
        <w:rPr>
          <w:rFonts w:ascii="Times New Roman"/>
          <w:b/>
          <w:i w:val="false"/>
          <w:color w:val="000000"/>
        </w:rPr>
        <w:t>(Centralized Collection IS), based on the results of accounting for the functioning of multi-apartment residential buildings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entry, and/or modification of the cadastral number of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classifier of administrative-territorial objects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500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code of the 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16 characters, leading zeros are possible.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purpose (letter on the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intended use (letters according to the plan) of the house. Selection of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“Target Uses” reference book: for the construction and use of a multi-apartment residential building (hereinafter referred to as MAB)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fund category.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“Fund Categories” reference book:</w:t>
            </w:r>
          </w:p>
          <w:p>
            <w:pPr>
              <w:spacing w:after="20"/>
              <w:ind w:left="20"/>
              <w:jc w:val="both"/>
            </w:pPr>
            <w:r>
              <w:rPr>
                <w:rFonts w:ascii="Times New Roman"/>
                <w:b w:val="false"/>
                <w:i w:val="false"/>
                <w:color w:val="000000"/>
                <w:sz w:val="20"/>
              </w:rPr>
              <w:t>
Residential</w:t>
            </w:r>
          </w:p>
          <w:p>
            <w:pPr>
              <w:spacing w:after="20"/>
              <w:ind w:left="20"/>
              <w:jc w:val="both"/>
            </w:pPr>
            <w:r>
              <w:rPr>
                <w:rFonts w:ascii="Times New Roman"/>
                <w:b w:val="false"/>
                <w:i w:val="false"/>
                <w:color w:val="000000"/>
                <w:sz w:val="20"/>
              </w:rPr>
              <w:t>
Non-residential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condominium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availability of state registration of the condominium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technical passport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availability of the technical passport of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attribution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balance sheet ownership.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from the reference book “Balance sheet ownership”:</w:t>
            </w:r>
          </w:p>
          <w:p>
            <w:pPr>
              <w:spacing w:after="20"/>
              <w:ind w:left="20"/>
              <w:jc w:val="both"/>
            </w:pPr>
            <w:r>
              <w:rPr>
                <w:rFonts w:ascii="Times New Roman"/>
                <w:b w:val="false"/>
                <w:i w:val="false"/>
                <w:color w:val="000000"/>
                <w:sz w:val="20"/>
              </w:rPr>
              <w:t>
- Private (if there is common property in the condominium)</w:t>
            </w:r>
          </w:p>
          <w:p>
            <w:pPr>
              <w:spacing w:after="20"/>
              <w:ind w:left="20"/>
              <w:jc w:val="both"/>
            </w:pPr>
            <w:r>
              <w:rPr>
                <w:rFonts w:ascii="Times New Roman"/>
                <w:b w:val="false"/>
                <w:i w:val="false"/>
                <w:color w:val="000000"/>
                <w:sz w:val="20"/>
              </w:rPr>
              <w:t>
- Private (all apartments and non-residential premises belong to a single owner)</w:t>
            </w:r>
          </w:p>
          <w:p>
            <w:pPr>
              <w:spacing w:after="20"/>
              <w:ind w:left="20"/>
              <w:jc w:val="both"/>
            </w:pPr>
            <w:r>
              <w:rPr>
                <w:rFonts w:ascii="Times New Roman"/>
                <w:b w:val="false"/>
                <w:i w:val="false"/>
                <w:color w:val="000000"/>
                <w:sz w:val="20"/>
              </w:rPr>
              <w:t>
- State (state-owned enterprises);</w:t>
            </w:r>
          </w:p>
          <w:p>
            <w:pPr>
              <w:spacing w:after="20"/>
              <w:ind w:left="20"/>
              <w:jc w:val="both"/>
            </w:pPr>
            <w:r>
              <w:rPr>
                <w:rFonts w:ascii="Times New Roman"/>
                <w:b w:val="false"/>
                <w:i w:val="false"/>
                <w:color w:val="000000"/>
                <w:sz w:val="20"/>
              </w:rPr>
              <w:t>
- State (state institutions)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elevators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presence of elevators in the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non-negative integer or zero if none exists.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electricity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presence of electricity connection in the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year of construction of the house. If different from the year of commissioning.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integer, year of commissioning.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&lt;date.month.year&gt; of the last major repair.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&lt;date.month.year&gt;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rooms in the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premises in the house from the Address Register:</w:t>
            </w:r>
          </w:p>
          <w:p>
            <w:pPr>
              <w:spacing w:after="20"/>
              <w:ind w:left="20"/>
              <w:jc w:val="both"/>
            </w:pPr>
            <w:r>
              <w:rPr>
                <w:rFonts w:ascii="Times New Roman"/>
                <w:b w:val="false"/>
                <w:i w:val="false"/>
                <w:color w:val="000000"/>
                <w:sz w:val="20"/>
              </w:rPr>
              <w:t>Residential</w:t>
            </w:r>
          </w:p>
          <w:p>
            <w:pPr>
              <w:spacing w:after="20"/>
              <w:ind w:left="20"/>
              <w:jc w:val="both"/>
            </w:pPr>
            <w:r>
              <w:rPr>
                <w:rFonts w:ascii="Times New Roman"/>
                <w:b w:val="false"/>
                <w:i w:val="false"/>
                <w:color w:val="000000"/>
                <w:sz w:val="20"/>
              </w:rPr>
              <w:t>Non-residential</w:t>
            </w:r>
          </w:p>
          <w:p>
            <w:pPr>
              <w:spacing w:after="20"/>
              <w:ind w:left="20"/>
              <w:jc w:val="both"/>
            </w:pPr>
            <w:r>
              <w:rPr>
                <w:rFonts w:ascii="Times New Roman"/>
                <w:b w:val="false"/>
                <w:i w:val="false"/>
                <w:color w:val="000000"/>
                <w:sz w:val="20"/>
              </w:rPr>
              <w:t>Parking spaces.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non-negative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number of floors in a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non-negative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apartments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rooms with the type “Apartment” in a building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non-negative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non-residential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rooms with the type “Non-residential premises” in a building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non-negative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heat supply.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reference book "Heat supply type":</w:t>
            </w:r>
          </w:p>
          <w:p>
            <w:pPr>
              <w:spacing w:after="20"/>
              <w:ind w:left="20"/>
              <w:jc w:val="both"/>
            </w:pPr>
            <w:r>
              <w:rPr>
                <w:rFonts w:ascii="Times New Roman"/>
                <w:b w:val="false"/>
                <w:i w:val="false"/>
                <w:color w:val="000000"/>
                <w:sz w:val="20"/>
              </w:rPr>
              <w:t>
- central</w:t>
            </w:r>
          </w:p>
          <w:p>
            <w:pPr>
              <w:spacing w:after="20"/>
              <w:ind w:left="20"/>
              <w:jc w:val="both"/>
            </w:pPr>
            <w:r>
              <w:rPr>
                <w:rFonts w:ascii="Times New Roman"/>
                <w:b w:val="false"/>
                <w:i w:val="false"/>
                <w:color w:val="000000"/>
                <w:sz w:val="20"/>
              </w:rPr>
              <w:t>
- autonomous</w:t>
            </w:r>
          </w:p>
          <w:p>
            <w:pPr>
              <w:spacing w:after="20"/>
              <w:ind w:left="20"/>
              <w:jc w:val="both"/>
            </w:pPr>
            <w:r>
              <w:rPr>
                <w:rFonts w:ascii="Times New Roman"/>
                <w:b w:val="false"/>
                <w:i w:val="false"/>
                <w:color w:val="000000"/>
                <w:sz w:val="20"/>
              </w:rPr>
              <w:t>
- individual units</w:t>
            </w:r>
          </w:p>
          <w:p>
            <w:pPr>
              <w:spacing w:after="20"/>
              <w:ind w:left="20"/>
              <w:jc w:val="both"/>
            </w:pPr>
            <w:r>
              <w:rPr>
                <w:rFonts w:ascii="Times New Roman"/>
                <w:b w:val="false"/>
                <w:i w:val="false"/>
                <w:color w:val="000000"/>
                <w:sz w:val="20"/>
              </w:rPr>
              <w:t>
- none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heat supply. If the type of heat supply is central,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reference book "Heat supply type":</w:t>
            </w:r>
          </w:p>
          <w:p>
            <w:pPr>
              <w:spacing w:after="20"/>
              <w:ind w:left="20"/>
              <w:jc w:val="both"/>
            </w:pPr>
            <w:r>
              <w:rPr>
                <w:rFonts w:ascii="Times New Roman"/>
                <w:b w:val="false"/>
                <w:i w:val="false"/>
                <w:color w:val="000000"/>
                <w:sz w:val="20"/>
              </w:rPr>
              <w:t>- open</w:t>
            </w:r>
          </w:p>
          <w:p>
            <w:pPr>
              <w:spacing w:after="20"/>
              <w:ind w:left="20"/>
              <w:jc w:val="both"/>
            </w:pPr>
            <w:r>
              <w:rPr>
                <w:rFonts w:ascii="Times New Roman"/>
                <w:b w:val="false"/>
                <w:i w:val="false"/>
                <w:color w:val="000000"/>
                <w:sz w:val="20"/>
              </w:rPr>
              <w:t>- closed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gas supply.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reference book "Heat supply type":- network (natural)</w:t>
            </w:r>
          </w:p>
          <w:p>
            <w:pPr>
              <w:spacing w:after="20"/>
              <w:ind w:left="20"/>
              <w:jc w:val="both"/>
            </w:pPr>
            <w:r>
              <w:rPr>
                <w:rFonts w:ascii="Times New Roman"/>
                <w:b w:val="false"/>
                <w:i w:val="false"/>
                <w:color w:val="000000"/>
                <w:sz w:val="20"/>
              </w:rPr>
              <w:t>
- liquefied (gas tanks)</w:t>
            </w:r>
          </w:p>
          <w:p>
            <w:pPr>
              <w:spacing w:after="20"/>
              <w:ind w:left="20"/>
              <w:jc w:val="both"/>
            </w:pPr>
            <w:r>
              <w:rPr>
                <w:rFonts w:ascii="Times New Roman"/>
                <w:b w:val="false"/>
                <w:i w:val="false"/>
                <w:color w:val="000000"/>
                <w:sz w:val="20"/>
              </w:rPr>
              <w:t>
- liquefied (cylinders)</w:t>
            </w:r>
          </w:p>
          <w:p>
            <w:pPr>
              <w:spacing w:after="20"/>
              <w:ind w:left="20"/>
              <w:jc w:val="both"/>
            </w:pPr>
            <w:r>
              <w:rPr>
                <w:rFonts w:ascii="Times New Roman"/>
                <w:b w:val="false"/>
                <w:i w:val="false"/>
                <w:color w:val="000000"/>
                <w:sz w:val="20"/>
              </w:rPr>
              <w:t>
- none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gas pipeline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availability of a gas pipeline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water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hot water supply.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 from the reference book “Type of hot water supply”:</w:t>
            </w:r>
          </w:p>
          <w:p>
            <w:pPr>
              <w:spacing w:after="20"/>
              <w:ind w:left="20"/>
              <w:jc w:val="both"/>
            </w:pPr>
            <w:r>
              <w:rPr>
                <w:rFonts w:ascii="Times New Roman"/>
                <w:b w:val="false"/>
                <w:i w:val="false"/>
                <w:color w:val="000000"/>
                <w:sz w:val="20"/>
              </w:rPr>
              <w:t>
- central</w:t>
            </w:r>
          </w:p>
          <w:p>
            <w:pPr>
              <w:spacing w:after="20"/>
              <w:ind w:left="20"/>
              <w:jc w:val="both"/>
            </w:pPr>
            <w:r>
              <w:rPr>
                <w:rFonts w:ascii="Times New Roman"/>
                <w:b w:val="false"/>
                <w:i w:val="false"/>
                <w:color w:val="000000"/>
                <w:sz w:val="20"/>
              </w:rPr>
              <w:t>
- autonomous</w:t>
            </w:r>
          </w:p>
          <w:p>
            <w:pPr>
              <w:spacing w:after="20"/>
              <w:ind w:left="20"/>
              <w:jc w:val="both"/>
            </w:pPr>
            <w:r>
              <w:rPr>
                <w:rFonts w:ascii="Times New Roman"/>
                <w:b w:val="false"/>
                <w:i w:val="false"/>
                <w:color w:val="000000"/>
                <w:sz w:val="20"/>
              </w:rPr>
              <w:t>
- individual installations</w:t>
            </w:r>
          </w:p>
          <w:p>
            <w:pPr>
              <w:spacing w:after="20"/>
              <w:ind w:left="20"/>
              <w:jc w:val="both"/>
            </w:pPr>
            <w:r>
              <w:rPr>
                <w:rFonts w:ascii="Times New Roman"/>
                <w:b w:val="false"/>
                <w:i w:val="false"/>
                <w:color w:val="000000"/>
                <w:sz w:val="20"/>
              </w:rPr>
              <w:t>
- none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water supply.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from the reference book “Type of hot water supply”:</w:t>
            </w:r>
          </w:p>
          <w:p>
            <w:pPr>
              <w:spacing w:after="20"/>
              <w:ind w:left="20"/>
              <w:jc w:val="both"/>
            </w:pPr>
          </w:p>
          <w:p>
            <w:pPr>
              <w:spacing w:after="20"/>
              <w:ind w:left="20"/>
              <w:jc w:val="both"/>
            </w:pPr>
            <w:r>
              <w:rPr>
                <w:rFonts w:ascii="Times New Roman"/>
                <w:b w:val="false"/>
                <w:i w:val="false"/>
                <w:color w:val="000000"/>
                <w:sz w:val="20"/>
              </w:rPr>
              <w:t>- centralized (network or pump)</w:t>
            </w:r>
          </w:p>
          <w:p>
            <w:pPr>
              <w:spacing w:after="20"/>
              <w:ind w:left="20"/>
              <w:jc w:val="both"/>
            </w:pPr>
            <w:r>
              <w:rPr>
                <w:rFonts w:ascii="Times New Roman"/>
                <w:b w:val="false"/>
                <w:i w:val="false"/>
                <w:color w:val="000000"/>
                <w:sz w:val="20"/>
              </w:rPr>
              <w:t>
 - decentralized (wells, boreholes)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availability of water supply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water drainage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type of water drainage.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 from the reference book "Type of water disposal":</w:t>
            </w:r>
          </w:p>
          <w:p>
            <w:pPr>
              <w:spacing w:after="20"/>
              <w:ind w:left="20"/>
              <w:jc w:val="both"/>
            </w:pPr>
            <w:r>
              <w:rPr>
                <w:rFonts w:ascii="Times New Roman"/>
                <w:b w:val="false"/>
                <w:i w:val="false"/>
                <w:color w:val="000000"/>
                <w:sz w:val="20"/>
              </w:rPr>
              <w:t>
- centralized</w:t>
            </w:r>
          </w:p>
          <w:p>
            <w:pPr>
              <w:spacing w:after="20"/>
              <w:ind w:left="20"/>
              <w:jc w:val="both"/>
            </w:pPr>
            <w:r>
              <w:rPr>
                <w:rFonts w:ascii="Times New Roman"/>
                <w:b w:val="false"/>
                <w:i w:val="false"/>
                <w:color w:val="000000"/>
                <w:sz w:val="20"/>
              </w:rPr>
              <w:t>
- septic tank (cesspool)</w:t>
            </w:r>
          </w:p>
          <w:p>
            <w:pPr>
              <w:spacing w:after="20"/>
              <w:ind w:left="20"/>
              <w:jc w:val="both"/>
            </w:pPr>
            <w:r>
              <w:rPr>
                <w:rFonts w:ascii="Times New Roman"/>
                <w:b w:val="false"/>
                <w:i w:val="false"/>
                <w:color w:val="000000"/>
                <w:sz w:val="20"/>
              </w:rPr>
              <w:t>
- outdoor toilet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sewerage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availability of sewage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common house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number of common house metering devices in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non-negative integer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situation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situation in the house.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 from the reference book "House Situation":</w:t>
            </w:r>
          </w:p>
          <w:p>
            <w:pPr>
              <w:spacing w:after="20"/>
              <w:ind w:left="20"/>
              <w:jc w:val="both"/>
            </w:pPr>
            <w:r>
              <w:rPr>
                <w:rFonts w:ascii="Times New Roman"/>
                <w:b w:val="false"/>
                <w:i w:val="false"/>
                <w:color w:val="000000"/>
                <w:sz w:val="20"/>
              </w:rPr>
              <w:t>
- functioning</w:t>
            </w:r>
          </w:p>
          <w:p>
            <w:pPr>
              <w:spacing w:after="20"/>
              <w:ind w:left="20"/>
              <w:jc w:val="both"/>
            </w:pPr>
            <w:r>
              <w:rPr>
                <w:rFonts w:ascii="Times New Roman"/>
                <w:b w:val="false"/>
                <w:i w:val="false"/>
                <w:color w:val="000000"/>
                <w:sz w:val="20"/>
              </w:rPr>
              <w:t>
- functioning</w:t>
            </w:r>
          </w:p>
          <w:p>
            <w:pPr>
              <w:spacing w:after="20"/>
              <w:ind w:left="20"/>
              <w:jc w:val="both"/>
            </w:pPr>
            <w:r>
              <w:rPr>
                <w:rFonts w:ascii="Times New Roman"/>
                <w:b w:val="false"/>
                <w:i w:val="false"/>
                <w:color w:val="000000"/>
                <w:sz w:val="20"/>
              </w:rPr>
              <w:t>
(requires major repairs)</w:t>
            </w:r>
          </w:p>
          <w:p>
            <w:pPr>
              <w:spacing w:after="20"/>
              <w:ind w:left="20"/>
              <w:jc w:val="both"/>
            </w:pPr>
            <w:r>
              <w:rPr>
                <w:rFonts w:ascii="Times New Roman"/>
                <w:b w:val="false"/>
                <w:i w:val="false"/>
                <w:color w:val="000000"/>
                <w:sz w:val="20"/>
              </w:rPr>
              <w:t>
- functioning</w:t>
            </w:r>
          </w:p>
          <w:p>
            <w:pPr>
              <w:spacing w:after="20"/>
              <w:ind w:left="20"/>
              <w:jc w:val="both"/>
            </w:pPr>
            <w:r>
              <w:rPr>
                <w:rFonts w:ascii="Times New Roman"/>
                <w:b w:val="false"/>
                <w:i w:val="false"/>
                <w:color w:val="000000"/>
                <w:sz w:val="20"/>
              </w:rPr>
              <w:t>
(included in the renovation program)</w:t>
            </w:r>
          </w:p>
          <w:p>
            <w:pPr>
              <w:spacing w:after="20"/>
              <w:ind w:left="20"/>
              <w:jc w:val="both"/>
            </w:pPr>
            <w:r>
              <w:rPr>
                <w:rFonts w:ascii="Times New Roman"/>
                <w:b w:val="false"/>
                <w:i w:val="false"/>
                <w:color w:val="000000"/>
                <w:sz w:val="20"/>
              </w:rPr>
              <w:t>
- not functioning</w:t>
            </w:r>
          </w:p>
          <w:p>
            <w:pPr>
              <w:spacing w:after="20"/>
              <w:ind w:left="20"/>
              <w:jc w:val="both"/>
            </w:pPr>
            <w:r>
              <w:rPr>
                <w:rFonts w:ascii="Times New Roman"/>
                <w:b w:val="false"/>
                <w:i w:val="false"/>
                <w:color w:val="000000"/>
                <w:sz w:val="20"/>
              </w:rPr>
              <w:t>
(abandoned, empty,</w:t>
            </w:r>
          </w:p>
          <w:p>
            <w:pPr>
              <w:spacing w:after="20"/>
              <w:ind w:left="20"/>
              <w:jc w:val="both"/>
            </w:pPr>
            <w:r>
              <w:rPr>
                <w:rFonts w:ascii="Times New Roman"/>
                <w:b w:val="false"/>
                <w:i w:val="false"/>
                <w:color w:val="000000"/>
                <w:sz w:val="20"/>
              </w:rPr>
              <w:t>
disconnected from infrastructure)</w:t>
            </w:r>
          </w:p>
          <w:p>
            <w:pPr>
              <w:spacing w:after="20"/>
              <w:ind w:left="20"/>
              <w:jc w:val="both"/>
            </w:pPr>
            <w:r>
              <w:rPr>
                <w:rFonts w:ascii="Times New Roman"/>
                <w:b w:val="false"/>
                <w:i w:val="false"/>
                <w:color w:val="000000"/>
                <w:sz w:val="20"/>
              </w:rPr>
              <w:t>
- recognized as emergency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leaving home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reason for leaving the house. If there is data in the field, display the value when using the passport data change function.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500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barrier-free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Values:</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No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