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0b59a03" w14:textId="0b59a03">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On the approval of the rules for the formation, processing, as well as the centralized collection and storage of information in electronic form, including the functioning of objects of informatization in the field of housing relations and HCS</w:t>
      </w:r>
    </w:p>
    <w:p>
      <w:pPr>
        <w:spacing w:after="0"/>
        <w:ind w:left="0"/>
        <w:jc w:val="left"/>
      </w:pPr>
      <w:r>
        <w:rPr>
          <w:rFonts w:ascii="Times New Roman"/>
          <w:b w:val="false"/>
          <w:i w:val="false"/>
          <w:color w:val="000000"/>
          <w:sz w:val="28"/>
        </w:rPr>
        <w:t>
			</w:t>
      </w:r>
      <w:r>
        <w:rPr>
          <w:rFonts w:ascii="Times New Roman"/>
          <w:b/>
          <w:i/>
          <w:color w:val="888888"/>
        </w:rPr>
        <w:t>Unofficial translation</w:t>
      </w:r>
      <w:r>
        <w:rPr>
          <w:rFonts w:ascii="Times New Roman"/>
          <w:b w:val="false"/>
          <w:i w:val="false"/>
          <w:color w:val="000000"/>
          <w:sz w:val="28"/>
        </w:rPr>
        <w:t>
					</w:t>
      </w:r>
    </w:p>
    <w:p>
      <w:pPr>
        <w:spacing w:after="0"/>
        <w:ind w:left="0"/>
        <w:jc w:val="both"/>
      </w:pPr>
      <w:r>
        <w:rPr>
          <w:rFonts w:ascii="Times New Roman"/>
          <w:b w:val="false"/>
          <w:i w:val="false"/>
          <w:color w:val="000000"/>
          <w:sz w:val="28"/>
        </w:rPr>
        <w:t>Order of the acting Minister of Industry and Infrastructure Development of the Republic of Kazakhstan dated March 31, 2020 № 172. Registered with the Ministry of Justice of the Republic of Kazakhstan on April 1, 2020 № 20245.</w:t>
      </w:r>
    </w:p>
    <w:p>
      <w:pPr>
        <w:spacing w:after="0"/>
        <w:ind w:left="0"/>
        <w:jc w:val="both"/>
      </w:pPr>
      <w:r>
        <w:rPr>
          <w:rFonts w:ascii="Times New Roman"/>
          <w:b w:val="false"/>
          <w:i w:val="false"/>
          <w:color w:val="ff0000"/>
          <w:sz w:val="28"/>
        </w:rPr>
        <w:t>
      Unofficial translation</w:t>
      </w:r>
    </w:p>
    <w:bookmarkStart w:name="z1" w:id="0"/>
    <w:p>
      <w:pPr>
        <w:spacing w:after="0"/>
        <w:ind w:left="0"/>
        <w:jc w:val="both"/>
      </w:pPr>
      <w:r>
        <w:rPr>
          <w:rFonts w:ascii="Times New Roman"/>
          <w:b w:val="false"/>
          <w:i w:val="false"/>
          <w:color w:val="000000"/>
          <w:sz w:val="28"/>
        </w:rPr>
        <w:t xml:space="preserve">
      In accordance with subparagraph 10-24) of Article 10-2 of the Law of the Republic of Kazakhstan “On Housing Relations”, </w:t>
      </w:r>
      <w:r>
        <w:rPr>
          <w:rFonts w:ascii="Times New Roman"/>
          <w:b/>
          <w:i w:val="false"/>
          <w:color w:val="000000"/>
          <w:sz w:val="28"/>
        </w:rPr>
        <w:t xml:space="preserve">I </w:t>
      </w:r>
      <w:r>
        <w:rPr>
          <w:rFonts w:ascii="Times New Roman"/>
          <w:b/>
          <w:i w:val="false"/>
          <w:color w:val="000000"/>
          <w:sz w:val="28"/>
        </w:rPr>
        <w:t xml:space="preserve">HEREBY </w:t>
      </w:r>
      <w:r>
        <w:rPr>
          <w:rFonts w:ascii="Times New Roman"/>
          <w:b/>
          <w:i w:val="false"/>
          <w:color w:val="000000"/>
          <w:sz w:val="28"/>
        </w:rPr>
        <w:t>ORDER:</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Footnote. Preamble - as amended by Order № 43 of the Minister of Industry and Construction of the Republic of Kazakhstan dated February 5, 2024 (shall come into effect ten calendar days after its first official publication).</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1. Approve the attached regulations formation, processing, as well as centralized collection and storage of information in electronic form, including the functioning of objects of informatization in the field of housing relations and HCS.</w:t>
      </w:r>
    </w:p>
    <w:bookmarkEnd w:id="1"/>
    <w:bookmarkStart w:name="z3" w:id="2"/>
    <w:p>
      <w:pPr>
        <w:spacing w:after="0"/>
        <w:ind w:left="0"/>
        <w:jc w:val="both"/>
      </w:pPr>
      <w:r>
        <w:rPr>
          <w:rFonts w:ascii="Times New Roman"/>
          <w:b w:val="false"/>
          <w:i w:val="false"/>
          <w:color w:val="000000"/>
          <w:sz w:val="28"/>
        </w:rPr>
        <w:t>
      2. The Committee for Construction and HCS of the Ministry of Industry and Infrastructure Development of the Republic of Kazakhstan, in the manner prescribed by law, shall ensure:</w:t>
      </w:r>
    </w:p>
    <w:bookmarkEnd w:id="2"/>
    <w:bookmarkStart w:name="z4" w:id="3"/>
    <w:p>
      <w:pPr>
        <w:spacing w:after="0"/>
        <w:ind w:left="0"/>
        <w:jc w:val="both"/>
      </w:pPr>
      <w:r>
        <w:rPr>
          <w:rFonts w:ascii="Times New Roman"/>
          <w:b w:val="false"/>
          <w:i w:val="false"/>
          <w:color w:val="000000"/>
          <w:sz w:val="28"/>
        </w:rPr>
        <w:t>
      1) state registration of this order with the Ministry of Justice of the Republic of Kazakhstan;</w:t>
      </w:r>
    </w:p>
    <w:bookmarkEnd w:id="3"/>
    <w:bookmarkStart w:name="z5" w:id="4"/>
    <w:p>
      <w:pPr>
        <w:spacing w:after="0"/>
        <w:ind w:left="0"/>
        <w:jc w:val="both"/>
      </w:pPr>
      <w:r>
        <w:rPr>
          <w:rFonts w:ascii="Times New Roman"/>
          <w:b w:val="false"/>
          <w:i w:val="false"/>
          <w:color w:val="000000"/>
          <w:sz w:val="28"/>
        </w:rPr>
        <w:t>
      2) posting this order on the Internet resource of the Ministry of Industry and Infrastructure Development of the Republic of Kazakhstan.</w:t>
      </w:r>
    </w:p>
    <w:bookmarkEnd w:id="4"/>
    <w:bookmarkStart w:name="z6" w:id="5"/>
    <w:p>
      <w:pPr>
        <w:spacing w:after="0"/>
        <w:ind w:left="0"/>
        <w:jc w:val="both"/>
      </w:pPr>
      <w:r>
        <w:rPr>
          <w:rFonts w:ascii="Times New Roman"/>
          <w:b w:val="false"/>
          <w:i w:val="false"/>
          <w:color w:val="000000"/>
          <w:sz w:val="28"/>
        </w:rPr>
        <w:t>
      3. Control over the execution of this order shall be entrusted to the supervising First Vice Minister of Industry and Infrastructure Development of the Republic of Kazakhstan.</w:t>
      </w:r>
    </w:p>
    <w:bookmarkEnd w:id="5"/>
    <w:bookmarkStart w:name="z7" w:id="6"/>
    <w:p>
      <w:pPr>
        <w:spacing w:after="0"/>
        <w:ind w:left="0"/>
        <w:jc w:val="both"/>
      </w:pPr>
      <w:r>
        <w:rPr>
          <w:rFonts w:ascii="Times New Roman"/>
          <w:b w:val="false"/>
          <w:i w:val="false"/>
          <w:color w:val="000000"/>
          <w:sz w:val="28"/>
        </w:rPr>
        <w:t>
      4. This order shall be enforced upon the expiration of ten calendar days after the day of its first official publication.</w:t>
      </w:r>
    </w:p>
    <w:bookmarkEnd w:id="6"/>
    <w:tbl>
      <w:tblPr>
        <w:tblW w:w="0" w:type="auto"/>
        <w:tblCellSpacing w:w="0" w:type="auto"/>
        <w:tblBorders>
          <w:top w:val="none"/>
          <w:left w:val="none"/>
          <w:bottom w:val="none"/>
          <w:right w:val="none"/>
          <w:insideH w:val="none"/>
          <w:insideV w:val="none"/>
        </w:tblBorders>
        <w:tblLayout w:type="fixed"/>
      </w:tblPr>
      <w:tblGrid>
        <w:gridCol w:w="8040"/>
        <w:gridCol w:w="396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Acting</w:t>
            </w: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Minister of Industry and</w:t>
            </w: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infrastructure development</w:t>
            </w: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Republic of Kazakhstan </w:t>
            </w:r>
            <w:r>
              <w:rPr>
                <w:rFonts w:ascii="Times New Roman"/>
                <w:b w:val="false"/>
                <w:i w:val="false"/>
                <w:color w:val="000000"/>
                <w:sz w:val="20"/>
              </w:rPr>
              <w:t>
</w:t>
            </w:r>
          </w:p>
        </w:tc>
        <w:tc>
          <w:tcPr>
            <w:tcW w:w="396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K. Uskenbaev</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"AGREED"</w:t>
      </w:r>
    </w:p>
    <w:p>
      <w:pPr>
        <w:spacing w:after="0"/>
        <w:ind w:left="0"/>
        <w:jc w:val="both"/>
      </w:pPr>
      <w:r>
        <w:rPr>
          <w:rFonts w:ascii="Times New Roman"/>
          <w:b w:val="false"/>
          <w:i w:val="false"/>
          <w:color w:val="000000"/>
          <w:sz w:val="28"/>
        </w:rPr>
        <w:t>
      Ministry of Digital Development,</w:t>
      </w:r>
    </w:p>
    <w:p>
      <w:pPr>
        <w:spacing w:after="0"/>
        <w:ind w:left="0"/>
        <w:jc w:val="both"/>
      </w:pPr>
      <w:r>
        <w:rPr>
          <w:rFonts w:ascii="Times New Roman"/>
          <w:b w:val="false"/>
          <w:i w:val="false"/>
          <w:color w:val="000000"/>
          <w:sz w:val="28"/>
        </w:rPr>
        <w:t>
      innovative and aerospace</w:t>
      </w:r>
    </w:p>
    <w:p>
      <w:pPr>
        <w:spacing w:after="0"/>
        <w:ind w:left="0"/>
        <w:jc w:val="both"/>
      </w:pPr>
      <w:r>
        <w:rPr>
          <w:rFonts w:ascii="Times New Roman"/>
          <w:b w:val="false"/>
          <w:i w:val="false"/>
          <w:color w:val="000000"/>
          <w:sz w:val="28"/>
        </w:rPr>
        <w:t>
      industry of the Republic of Kazakhstan</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Approved by the order</w:t>
            </w:r>
            <w:r>
              <w:br/>
            </w:r>
            <w:r>
              <w:rPr>
                <w:rFonts w:ascii="Times New Roman"/>
                <w:b w:val="false"/>
                <w:i w:val="false"/>
                <w:color w:val="000000"/>
                <w:sz w:val="20"/>
              </w:rPr>
              <w:t>dated March 31, 2020 № 172</w:t>
            </w:r>
          </w:p>
        </w:tc>
      </w:tr>
    </w:tbl>
    <w:p>
      <w:pPr>
        <w:spacing w:after="0"/>
        <w:ind w:left="0"/>
        <w:jc w:val="left"/>
      </w:pPr>
      <w:r>
        <w:rPr>
          <w:rFonts w:ascii="Times New Roman"/>
          <w:b/>
          <w:i w:val="false"/>
          <w:color w:val="000000"/>
        </w:rPr>
        <w:t xml:space="preserve"> The Rules for the formation, processing, and centralized collection and storage of information in electronic form, including the operation of information technology facilities in the field of housing relations and housing and communal services</w:t>
      </w:r>
    </w:p>
    <w:p>
      <w:pPr>
        <w:spacing w:after="0"/>
        <w:ind w:left="0"/>
        <w:jc w:val="both"/>
      </w:pPr>
      <w:r>
        <w:rPr>
          <w:rFonts w:ascii="Times New Roman"/>
          <w:b w:val="false"/>
          <w:i w:val="false"/>
          <w:color w:val="ff0000"/>
          <w:sz w:val="28"/>
        </w:rPr>
        <w:t>
      Footnote. The Rules - as amended by Order № 43 of the Minister of Industry and Construction of the Republic of Kazakhstan dated February 5, 2024 (shall come into effect ten calendar days after its first official publication).</w:t>
      </w:r>
    </w:p>
    <w:p>
      <w:pPr>
        <w:spacing w:after="0"/>
        <w:ind w:left="0"/>
        <w:jc w:val="left"/>
      </w:pPr>
      <w:r>
        <w:rPr>
          <w:rFonts w:ascii="Times New Roman"/>
          <w:b/>
          <w:i w:val="false"/>
          <w:color w:val="000000"/>
        </w:rPr>
        <w:t xml:space="preserve"> Chapter 1. General Provisions</w:t>
      </w:r>
    </w:p>
    <w:p>
      <w:pPr>
        <w:spacing w:after="0"/>
        <w:ind w:left="0"/>
        <w:jc w:val="both"/>
      </w:pPr>
      <w:r>
        <w:rPr>
          <w:rFonts w:ascii="Times New Roman"/>
          <w:b w:val="false"/>
          <w:i w:val="false"/>
          <w:color w:val="000000"/>
          <w:sz w:val="28"/>
        </w:rPr>
        <w:t>
      1. These Rules for the formation, processing, as well as centralized collection and storage of information in electronic form, including the operation of information technology facilities in the field of housing relations and housing and communal services (hereinafter referred to as the Rules) have been developed in accordance with subparagraph 10-24) of Article 10-2 of the Law of the Republic of Kazakhstan "On Housing Relations" (hereinafter referred to as the Law) and shall determine the procedure of:</w:t>
      </w:r>
    </w:p>
    <w:p>
      <w:pPr>
        <w:spacing w:after="0"/>
        <w:ind w:left="0"/>
        <w:jc w:val="both"/>
      </w:pPr>
      <w:r>
        <w:rPr>
          <w:rFonts w:ascii="Times New Roman"/>
          <w:b w:val="false"/>
          <w:i w:val="false"/>
          <w:color w:val="000000"/>
          <w:sz w:val="28"/>
        </w:rPr>
        <w:t>
      formation and processing of information in electronic form in information technology facilities in the field of housing relations and housing and communal services;</w:t>
      </w:r>
    </w:p>
    <w:p>
      <w:pPr>
        <w:spacing w:after="0"/>
        <w:ind w:left="0"/>
        <w:jc w:val="both"/>
      </w:pPr>
      <w:r>
        <w:rPr>
          <w:rFonts w:ascii="Times New Roman"/>
          <w:b w:val="false"/>
          <w:i w:val="false"/>
          <w:color w:val="000000"/>
          <w:sz w:val="28"/>
        </w:rPr>
        <w:t>
      centralized collection and storage of information in electronic form from information technology facilities in the field of housing relations and housing and communal services;</w:t>
      </w:r>
    </w:p>
    <w:p>
      <w:pPr>
        <w:spacing w:after="0"/>
        <w:ind w:left="0"/>
        <w:jc w:val="both"/>
      </w:pPr>
      <w:r>
        <w:rPr>
          <w:rFonts w:ascii="Times New Roman"/>
          <w:b w:val="false"/>
          <w:i w:val="false"/>
          <w:color w:val="000000"/>
          <w:sz w:val="28"/>
        </w:rPr>
        <w:t>
      functioning of information technology facilities in the field of housing relations and housing and communal services.</w:t>
      </w:r>
    </w:p>
    <w:p>
      <w:pPr>
        <w:spacing w:after="0"/>
        <w:ind w:left="0"/>
        <w:jc w:val="both"/>
      </w:pPr>
      <w:r>
        <w:rPr>
          <w:rFonts w:ascii="Times New Roman"/>
          <w:b w:val="false"/>
          <w:i w:val="false"/>
          <w:color w:val="000000"/>
          <w:sz w:val="28"/>
        </w:rPr>
        <w:t>
      2. The following basic concepts shall be used in these Rules:</w:t>
      </w:r>
    </w:p>
    <w:p>
      <w:pPr>
        <w:spacing w:after="0"/>
        <w:ind w:left="0"/>
        <w:jc w:val="both"/>
      </w:pPr>
      <w:r>
        <w:rPr>
          <w:rFonts w:ascii="Times New Roman"/>
          <w:b w:val="false"/>
          <w:i w:val="false"/>
          <w:color w:val="000000"/>
          <w:sz w:val="28"/>
        </w:rPr>
        <w:t>
      1) public utilities – services provided to the consumer, including water supply, sewerage, gas supply, electricity supply, heat supply, garbage disposal, elevator maintenance, to ensure safe and comfortable living conditions (stay);</w:t>
      </w:r>
    </w:p>
    <w:p>
      <w:pPr>
        <w:spacing w:after="0"/>
        <w:ind w:left="0"/>
        <w:jc w:val="both"/>
      </w:pPr>
      <w:r>
        <w:rPr>
          <w:rFonts w:ascii="Times New Roman"/>
          <w:b w:val="false"/>
          <w:i w:val="false"/>
          <w:color w:val="000000"/>
          <w:sz w:val="28"/>
        </w:rPr>
        <w:t>
      2) objects of information technology in the sphere of housing relations and housing and communal services (hereinafter referred to as Objects of information technology in housing and communal services) - electronic information resources and information systems in the sphere of housing relations and housing and communal services;</w:t>
      </w:r>
    </w:p>
    <w:p>
      <w:pPr>
        <w:spacing w:after="0"/>
        <w:ind w:left="0"/>
        <w:jc w:val="both"/>
      </w:pPr>
      <w:r>
        <w:rPr>
          <w:rFonts w:ascii="Times New Roman"/>
          <w:b w:val="false"/>
          <w:i w:val="false"/>
          <w:color w:val="000000"/>
          <w:sz w:val="28"/>
        </w:rPr>
        <w:t>
      3) the information system for the centralized collection and storage of electronic information resources in the sphere of housing relations and housing and communal services (hereinafter referred to as the IS for centralized collection) - a state information system that ensures the consolidation of electronic information resources from housing and communal services information technology facilities for the analysis of the housing stock and housing and communal services and the implementation of state regulation in the sphere of housing relations and housing and communal services;</w:t>
      </w:r>
    </w:p>
    <w:p>
      <w:pPr>
        <w:spacing w:after="0"/>
        <w:ind w:left="0"/>
        <w:jc w:val="both"/>
      </w:pPr>
      <w:r>
        <w:rPr>
          <w:rFonts w:ascii="Times New Roman"/>
          <w:b w:val="false"/>
          <w:i w:val="false"/>
          <w:color w:val="000000"/>
          <w:sz w:val="28"/>
        </w:rPr>
        <w:t>
      4) Information entities in the field of housing relations and housing and communal services (hereinafter referred to as HCS information entities) means the authorized body, local executive bodies, natural monopoly entities, associations of property owners, condominium management entities, owners of apartments, non-residential premises, parking spaces, storage units, and other entities in the field of housing relations and housing and communal services;</w:t>
      </w:r>
    </w:p>
    <w:p>
      <w:pPr>
        <w:spacing w:after="0"/>
        <w:ind w:left="0"/>
        <w:jc w:val="both"/>
      </w:pPr>
      <w:r>
        <w:rPr>
          <w:rFonts w:ascii="Times New Roman"/>
          <w:b w:val="false"/>
          <w:i w:val="false"/>
          <w:color w:val="000000"/>
          <w:sz w:val="28"/>
        </w:rPr>
        <w:t>
      5) authorized body - the central executive body that carries out management and intersectoral coordination in the sphere of housing relations and housing and communal services.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Paragraph 2 as amended by Order № 379 of the Minister of Industry and Construction of the Republic of Kazakhstan dated September 22, 2025 (shall come into effect ten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 The procedure for the formation and processing of information in electronic form in housing and communal services information systems</w:t>
      </w:r>
    </w:p>
    <w:p>
      <w:pPr>
        <w:spacing w:after="0"/>
        <w:ind w:left="0"/>
        <w:jc w:val="both"/>
      </w:pPr>
      <w:r>
        <w:rPr>
          <w:rFonts w:ascii="Times New Roman"/>
          <w:b w:val="false"/>
          <w:i w:val="false"/>
          <w:color w:val="000000"/>
          <w:sz w:val="28"/>
        </w:rPr>
        <w:t>
      3. For the purpose of generating and processing information in electronic form, housing and communal services IT facilities shall ensure automation of processes between housing and communal services IT subjects within the scope of their competence.</w:t>
      </w:r>
    </w:p>
    <w:p>
      <w:pPr>
        <w:spacing w:after="0"/>
        <w:ind w:left="0"/>
        <w:jc w:val="both"/>
      </w:pPr>
      <w:r>
        <w:rPr>
          <w:rFonts w:ascii="Times New Roman"/>
          <w:b w:val="false"/>
          <w:i w:val="false"/>
          <w:color w:val="000000"/>
          <w:sz w:val="28"/>
        </w:rPr>
        <w:t>
      4. The HCS information objects being created and/or developed shall ensure the maintenance of information in accordance with the competence of the HCS information entity and the functionality of the HCS information object:</w:t>
      </w:r>
    </w:p>
    <w:p>
      <w:pPr>
        <w:spacing w:after="0"/>
        <w:ind w:left="0"/>
        <w:jc w:val="both"/>
      </w:pPr>
      <w:r>
        <w:rPr>
          <w:rFonts w:ascii="Times New Roman"/>
          <w:b w:val="false"/>
          <w:i w:val="false"/>
          <w:color w:val="000000"/>
          <w:sz w:val="28"/>
        </w:rPr>
        <w:t>
      in the field of housing relations and housing management:</w:t>
      </w:r>
    </w:p>
    <w:p>
      <w:pPr>
        <w:spacing w:after="0"/>
        <w:ind w:left="0"/>
        <w:jc w:val="both"/>
      </w:pPr>
      <w:r>
        <w:rPr>
          <w:rFonts w:ascii="Times New Roman"/>
          <w:b w:val="false"/>
          <w:i w:val="false"/>
          <w:color w:val="000000"/>
          <w:sz w:val="28"/>
        </w:rPr>
        <w:t>
      1) on the registration of multi-apartment residential buildings;</w:t>
      </w:r>
    </w:p>
    <w:p>
      <w:pPr>
        <w:spacing w:after="0"/>
        <w:ind w:left="0"/>
        <w:jc w:val="both"/>
      </w:pPr>
      <w:r>
        <w:rPr>
          <w:rFonts w:ascii="Times New Roman"/>
          <w:b w:val="false"/>
          <w:i w:val="false"/>
          <w:color w:val="000000"/>
          <w:sz w:val="28"/>
        </w:rPr>
        <w:t>
      2) information about a multi-apartment residential building, completed by an association of property owners or entities managing a condominium property, or by one representative of the owners of apartments, non-residential premises, parking spaces, storage rooms in the case of direct joint management in accordance with Appendix 1, 2 of the Rules for the Management of a Condominium Property approved by Order of the Minister of National Economy of the Republic of Kazakhstan dated February 19, 2015 № 108 (registered in the State Register of Normative Legal Acts under № 10528);</w:t>
      </w:r>
    </w:p>
    <w:p>
      <w:pPr>
        <w:spacing w:after="0"/>
        <w:ind w:left="0"/>
        <w:jc w:val="both"/>
      </w:pPr>
      <w:r>
        <w:rPr>
          <w:rFonts w:ascii="Times New Roman"/>
          <w:b w:val="false"/>
          <w:i w:val="false"/>
          <w:color w:val="000000"/>
          <w:sz w:val="28"/>
        </w:rPr>
        <w:t>
      3) on the accounting of contributions from owners of apartments and non-residential premises for major repairs of a condominium property;</w:t>
      </w:r>
    </w:p>
    <w:p>
      <w:pPr>
        <w:spacing w:after="0"/>
        <w:ind w:left="0"/>
        <w:jc w:val="both"/>
      </w:pPr>
      <w:r>
        <w:rPr>
          <w:rFonts w:ascii="Times New Roman"/>
          <w:b w:val="false"/>
          <w:i w:val="false"/>
          <w:color w:val="000000"/>
          <w:sz w:val="28"/>
        </w:rPr>
        <w:t>
      4) on planned activities for the management and repair of common property of apartment buildings;</w:t>
      </w:r>
    </w:p>
    <w:p>
      <w:pPr>
        <w:spacing w:after="0"/>
        <w:ind w:left="0"/>
        <w:jc w:val="both"/>
      </w:pPr>
      <w:r>
        <w:rPr>
          <w:rFonts w:ascii="Times New Roman"/>
          <w:b w:val="false"/>
          <w:i w:val="false"/>
          <w:color w:val="000000"/>
          <w:sz w:val="28"/>
        </w:rPr>
        <w:t>
      5) reports on the results of the activities of the association of property owners or the entity managing a condominium for the management of an apartment building;</w:t>
      </w:r>
    </w:p>
    <w:p>
      <w:pPr>
        <w:spacing w:after="0"/>
        <w:ind w:left="0"/>
        <w:jc w:val="both"/>
      </w:pPr>
      <w:r>
        <w:rPr>
          <w:rFonts w:ascii="Times New Roman"/>
          <w:b w:val="false"/>
          <w:i w:val="false"/>
          <w:color w:val="000000"/>
          <w:sz w:val="28"/>
        </w:rPr>
        <w:t>
      6) on meetings of owners of apartments, non-residential premises, parking spaces, storage rooms of an apartment building, as well as minutes of the results of the meeting and voting;</w:t>
      </w:r>
    </w:p>
    <w:p>
      <w:pPr>
        <w:spacing w:after="0"/>
        <w:ind w:left="0"/>
        <w:jc w:val="both"/>
      </w:pPr>
      <w:r>
        <w:rPr>
          <w:rFonts w:ascii="Times New Roman"/>
          <w:b w:val="false"/>
          <w:i w:val="false"/>
          <w:color w:val="000000"/>
          <w:sz w:val="28"/>
        </w:rPr>
        <w:t>
      7) on the submission, processing and fulfilment of requests for the management of multi-apartment residential buildings;</w:t>
      </w:r>
    </w:p>
    <w:p>
      <w:pPr>
        <w:spacing w:after="0"/>
        <w:ind w:left="0"/>
        <w:jc w:val="both"/>
      </w:pPr>
      <w:r>
        <w:rPr>
          <w:rFonts w:ascii="Times New Roman"/>
          <w:b w:val="false"/>
          <w:i w:val="false"/>
          <w:color w:val="000000"/>
          <w:sz w:val="28"/>
        </w:rPr>
        <w:t>
      8) on agreements concluded between information entities of housing and communal services;</w:t>
      </w:r>
    </w:p>
    <w:p>
      <w:pPr>
        <w:spacing w:after="0"/>
        <w:ind w:left="0"/>
        <w:jc w:val="both"/>
      </w:pPr>
      <w:r>
        <w:rPr>
          <w:rFonts w:ascii="Times New Roman"/>
          <w:b w:val="false"/>
          <w:i w:val="false"/>
          <w:color w:val="000000"/>
          <w:sz w:val="28"/>
        </w:rPr>
        <w:t>
      in the field of public utilities:</w:t>
      </w:r>
    </w:p>
    <w:p>
      <w:pPr>
        <w:spacing w:after="0"/>
        <w:ind w:left="0"/>
        <w:jc w:val="both"/>
      </w:pPr>
      <w:r>
        <w:rPr>
          <w:rFonts w:ascii="Times New Roman"/>
          <w:b w:val="false"/>
          <w:i w:val="false"/>
          <w:color w:val="000000"/>
          <w:sz w:val="28"/>
        </w:rPr>
        <w:t>
      9) passport of the utility provider;</w:t>
      </w:r>
    </w:p>
    <w:p>
      <w:pPr>
        <w:spacing w:after="0"/>
        <w:ind w:left="0"/>
        <w:jc w:val="both"/>
      </w:pPr>
      <w:r>
        <w:rPr>
          <w:rFonts w:ascii="Times New Roman"/>
          <w:b w:val="false"/>
          <w:i w:val="false"/>
          <w:color w:val="000000"/>
          <w:sz w:val="28"/>
        </w:rPr>
        <w:t>
      10) on the registration of utility service providers;</w:t>
      </w:r>
    </w:p>
    <w:p>
      <w:pPr>
        <w:spacing w:after="0"/>
        <w:ind w:left="0"/>
        <w:jc w:val="both"/>
      </w:pPr>
      <w:r>
        <w:rPr>
          <w:rFonts w:ascii="Times New Roman"/>
          <w:b w:val="false"/>
          <w:i w:val="false"/>
          <w:color w:val="000000"/>
          <w:sz w:val="28"/>
        </w:rPr>
        <w:t>
      11) on personal accounts of consumers of public utilities;</w:t>
      </w:r>
    </w:p>
    <w:p>
      <w:pPr>
        <w:spacing w:after="0"/>
        <w:ind w:left="0"/>
        <w:jc w:val="both"/>
      </w:pPr>
      <w:r>
        <w:rPr>
          <w:rFonts w:ascii="Times New Roman"/>
          <w:b w:val="false"/>
          <w:i w:val="false"/>
          <w:color w:val="000000"/>
          <w:sz w:val="28"/>
        </w:rPr>
        <w:t>
      12) on the recording of building-level and individual utility metering devices for public utilities;</w:t>
      </w:r>
    </w:p>
    <w:p>
      <w:pPr>
        <w:spacing w:after="0"/>
        <w:ind w:left="0"/>
        <w:jc w:val="both"/>
      </w:pPr>
      <w:r>
        <w:rPr>
          <w:rFonts w:ascii="Times New Roman"/>
          <w:b w:val="false"/>
          <w:i w:val="false"/>
          <w:color w:val="000000"/>
          <w:sz w:val="28"/>
        </w:rPr>
        <w:t>
      13) on the meter readings;</w:t>
      </w:r>
    </w:p>
    <w:p>
      <w:pPr>
        <w:spacing w:after="0"/>
        <w:ind w:left="0"/>
        <w:jc w:val="both"/>
      </w:pPr>
      <w:r>
        <w:rPr>
          <w:rFonts w:ascii="Times New Roman"/>
          <w:b w:val="false"/>
          <w:i w:val="false"/>
          <w:color w:val="000000"/>
          <w:sz w:val="28"/>
        </w:rPr>
        <w:t>
      14) on tariffs, billing and payment of utility costs;</w:t>
      </w:r>
    </w:p>
    <w:p>
      <w:pPr>
        <w:spacing w:after="0"/>
        <w:ind w:left="0"/>
        <w:jc w:val="both"/>
      </w:pPr>
      <w:r>
        <w:rPr>
          <w:rFonts w:ascii="Times New Roman"/>
          <w:b w:val="false"/>
          <w:i w:val="false"/>
          <w:color w:val="000000"/>
          <w:sz w:val="28"/>
        </w:rPr>
        <w:t>
      15) on public utility networks: heat supply, water supply, sewerage, sewage treatment facilities, electricity supply, gas supply.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Paragraph 4 – as amended by Order № 379 of the Minister of Industry and Construction of the Republic of Kazakhstan dated September 22, 2025 (shall come into effect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The formation, processing, including ensuring the updating, completeness and reliability of information in electronic form in the HCS information objects shall be carried out by the HCS information entities, in accordance with the legislation in the field of housing relations and housing and communal services, through a personal account.</w:t>
      </w:r>
    </w:p>
    <w:p>
      <w:pPr>
        <w:spacing w:after="0"/>
        <w:ind w:left="0"/>
        <w:jc w:val="both"/>
      </w:pPr>
      <w:r>
        <w:rPr>
          <w:rFonts w:ascii="Times New Roman"/>
          <w:b w:val="false"/>
          <w:i w:val="false"/>
          <w:color w:val="000000"/>
          <w:sz w:val="28"/>
        </w:rPr>
        <w:t>
      The chairman of the property owners' association or the entity managing the condominium property shall present to the owners of apartments, non-residential premises, parking spaces, storage rooms, and the house council through information objects in the sphere of housing relations and housing and communal services and/or by posting in publicly accessible places:</w:t>
      </w:r>
    </w:p>
    <w:p>
      <w:pPr>
        <w:spacing w:after="0"/>
        <w:ind w:left="0"/>
        <w:jc w:val="both"/>
      </w:pPr>
      <w:r>
        <w:rPr>
          <w:rFonts w:ascii="Times New Roman"/>
          <w:b w:val="false"/>
          <w:i w:val="false"/>
          <w:color w:val="000000"/>
          <w:sz w:val="28"/>
        </w:rPr>
        <w:t>
      monthly report on the management of the condominium property – by the twentieth day of the month following the reporting period;</w:t>
      </w:r>
    </w:p>
    <w:p>
      <w:pPr>
        <w:spacing w:after="0"/>
        <w:ind w:left="0"/>
        <w:jc w:val="both"/>
      </w:pPr>
      <w:r>
        <w:rPr>
          <w:rFonts w:ascii="Times New Roman"/>
          <w:b w:val="false"/>
          <w:i w:val="false"/>
          <w:color w:val="000000"/>
          <w:sz w:val="28"/>
        </w:rPr>
        <w:t>
      annual report on the management of the condominium property – by April 1 of the year following the reporting year.</w:t>
      </w:r>
    </w:p>
    <w:p>
      <w:pPr>
        <w:spacing w:after="0"/>
        <w:ind w:left="0"/>
        <w:jc w:val="both"/>
      </w:pPr>
      <w:r>
        <w:rPr>
          <w:rFonts w:ascii="Times New Roman"/>
          <w:b w:val="false"/>
          <w:i w:val="false"/>
          <w:color w:val="000000"/>
          <w:sz w:val="28"/>
        </w:rPr>
        <w:t>
      Monthly and annual reports shall be filled out in the information objects in the field of housing relations and housing and communal services in machine-readable form in accordance with the Rules for making decisions on the management of a condominium property, as well as standard forms of minutes of meetings of owners of apartments, non-residential premises, an apartment building and forms of monthly and annual reports on the management of a condominium property, approved by the Order of the Acting Minister of Industry and Infrastructure Development of the Republic of Kazakhstan dated March 30, 2020 № 163 (registered in the State Register of Normative Legal Acts under № 20283), and shall be subsequently transferred to the centralized collection information system through integration to ensure storage and access by local executive bodies, as well as at the request of the chairman of the association of property owners or entities managing the condominium property to the owners of apartments, non-residential premises, parking spaces, storage rooms.</w:t>
      </w:r>
    </w:p>
    <w:p>
      <w:pPr>
        <w:spacing w:after="0"/>
        <w:ind w:left="0"/>
        <w:jc w:val="both"/>
      </w:pPr>
      <w:r>
        <w:rPr>
          <w:rFonts w:ascii="Times New Roman"/>
          <w:b w:val="false"/>
          <w:i w:val="false"/>
          <w:color w:val="000000"/>
          <w:sz w:val="28"/>
        </w:rPr>
        <w:t>
      Where an HCS information entity does not own and/or possess an HCS information object, the monthly reports shall be completed in the centralized collection information system through the personal account upon registration.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Paragraph 5 – as amended by Order № 379 of the Minister of Industry and Construction of the Republic of Kazakhstan dated September 22, 2025 (shall come into effect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Access to an HCS information object shall be provided by the HCS information entity that owns and/or possesses it in accordance with an access agreement concluded between that entity and another HCS information entity.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Paragraph 6 – as amended by Order № 379 of the Minister of Industry and Construction of the Republic of Kazakhstan dated September 22, 2025 (shall come into effect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The formation, processing, including ensuring the updating, completeness and reliability of information by the subjects of housing and communal services information technology shall be carried out on an ongoing basis, in electronic form, including with the attachment of electronic documents or copies of documents in electronic form.</w:t>
      </w:r>
    </w:p>
    <w:p>
      <w:pPr>
        <w:spacing w:after="0"/>
        <w:ind w:left="0"/>
        <w:jc w:val="both"/>
      </w:pPr>
      <w:r>
        <w:rPr>
          <w:rFonts w:ascii="Times New Roman"/>
          <w:b w:val="false"/>
          <w:i w:val="false"/>
          <w:color w:val="000000"/>
          <w:sz w:val="28"/>
        </w:rPr>
        <w:t>
      Documents created on paper shall be placed in housing and communal services information systems as copies of documents in electronic form.</w:t>
      </w:r>
    </w:p>
    <w:p>
      <w:pPr>
        <w:spacing w:after="0"/>
        <w:ind w:left="0"/>
        <w:jc w:val="both"/>
      </w:pPr>
      <w:r>
        <w:rPr>
          <w:rFonts w:ascii="Times New Roman"/>
          <w:b w:val="false"/>
          <w:i w:val="false"/>
          <w:color w:val="000000"/>
          <w:sz w:val="28"/>
        </w:rPr>
        <w:t>
      8. Information under subparagraphs 5) and 6) of paragraph 4 of these Rules shall be posted in the housing and communal services information technology facilities after it has been signed with an electronic digital signature of the subject of the housing and communal services information technology facility.</w:t>
      </w:r>
    </w:p>
    <w:p>
      <w:pPr>
        <w:spacing w:after="0"/>
        <w:ind w:left="0"/>
        <w:jc w:val="both"/>
      </w:pPr>
      <w:r>
        <w:rPr>
          <w:rFonts w:ascii="Times New Roman"/>
          <w:b w:val="false"/>
          <w:i w:val="false"/>
          <w:color w:val="000000"/>
          <w:sz w:val="28"/>
        </w:rPr>
        <w:t>
      9. Processing of information containing personal data shall be carried out by the subject of information technology of the housing and communal services sector, taking into account the requirements of legislation in the areas of information technology and protection of personal data.</w:t>
      </w:r>
    </w:p>
    <w:p>
      <w:pPr>
        <w:spacing w:after="0"/>
        <w:ind w:left="0"/>
        <w:jc w:val="both"/>
      </w:pPr>
      <w:r>
        <w:rPr>
          <w:rFonts w:ascii="Times New Roman"/>
          <w:b w:val="false"/>
          <w:i w:val="false"/>
          <w:color w:val="000000"/>
          <w:sz w:val="28"/>
        </w:rPr>
        <w:t>
      10. The subject of housing and public utilities information technology, which is the owner and (or) possessor of the housing and public utilities information technology facility, shall ensure the transfer of information from the housing and public utilities information technology facility to the centralized collection information system in accordance with Chapter 3 of these rules.</w:t>
      </w:r>
    </w:p>
    <w:p>
      <w:pPr>
        <w:spacing w:after="0"/>
        <w:ind w:left="0"/>
        <w:jc w:val="left"/>
      </w:pPr>
      <w:r>
        <w:rPr>
          <w:rFonts w:ascii="Times New Roman"/>
          <w:b/>
          <w:i w:val="false"/>
          <w:color w:val="000000"/>
        </w:rPr>
        <w:t xml:space="preserve"> Chapter 3. Centralized collection and storage of information in electronic form in the centralized collection information system</w:t>
      </w:r>
    </w:p>
    <w:p>
      <w:pPr>
        <w:spacing w:after="0"/>
        <w:ind w:left="0"/>
        <w:jc w:val="both"/>
      </w:pPr>
      <w:r>
        <w:rPr>
          <w:rFonts w:ascii="Times New Roman"/>
          <w:b w:val="false"/>
          <w:i w:val="false"/>
          <w:color w:val="000000"/>
          <w:sz w:val="28"/>
        </w:rPr>
        <w:t>
      11. The authorized body shall determine the organization subordinate to it as the Administrator of the centralized collection information system.</w:t>
      </w:r>
    </w:p>
    <w:p>
      <w:pPr>
        <w:spacing w:after="0"/>
        <w:ind w:left="0"/>
        <w:jc w:val="both"/>
      </w:pPr>
      <w:r>
        <w:rPr>
          <w:rFonts w:ascii="Times New Roman"/>
          <w:b w:val="false"/>
          <w:i w:val="false"/>
          <w:color w:val="000000"/>
          <w:sz w:val="28"/>
        </w:rPr>
        <w:t>
      The administrator shall provide methodological support for the functioning and formation of electronic information resources in the field of housing relations and housing and communal services, as well as centralized collection, analysis and storage, ensuring the safety and confidentiality of electronic information resources obtained from housing and communal services information technology facilities.</w:t>
      </w:r>
    </w:p>
    <w:p>
      <w:pPr>
        <w:spacing w:after="0"/>
        <w:ind w:left="0"/>
        <w:jc w:val="both"/>
      </w:pPr>
      <w:r>
        <w:rPr>
          <w:rFonts w:ascii="Times New Roman"/>
          <w:b w:val="false"/>
          <w:i w:val="false"/>
          <w:color w:val="000000"/>
          <w:sz w:val="28"/>
        </w:rPr>
        <w:t>
      12. Information shall be posted in the centralized collection information system in the following ways:</w:t>
      </w:r>
    </w:p>
    <w:p>
      <w:pPr>
        <w:spacing w:after="0"/>
        <w:ind w:left="0"/>
        <w:jc w:val="both"/>
      </w:pPr>
      <w:r>
        <w:rPr>
          <w:rFonts w:ascii="Times New Roman"/>
          <w:b w:val="false"/>
          <w:i w:val="false"/>
          <w:color w:val="000000"/>
          <w:sz w:val="28"/>
        </w:rPr>
        <w:t>
      1) through personal account;</w:t>
      </w:r>
    </w:p>
    <w:p>
      <w:pPr>
        <w:spacing w:after="0"/>
        <w:ind w:left="0"/>
        <w:jc w:val="both"/>
      </w:pPr>
      <w:r>
        <w:rPr>
          <w:rFonts w:ascii="Times New Roman"/>
          <w:b w:val="false"/>
          <w:i w:val="false"/>
          <w:color w:val="000000"/>
          <w:sz w:val="28"/>
        </w:rPr>
        <w:t>
      2) through the interaction of other housing and communal services information systems with the centralized collection information system.</w:t>
      </w:r>
    </w:p>
    <w:p>
      <w:pPr>
        <w:spacing w:after="0"/>
        <w:ind w:left="0"/>
        <w:jc w:val="both"/>
      </w:pPr>
      <w:r>
        <w:rPr>
          <w:rFonts w:ascii="Times New Roman"/>
          <w:b w:val="false"/>
          <w:i w:val="false"/>
          <w:color w:val="000000"/>
          <w:sz w:val="28"/>
        </w:rPr>
        <w:t>
      13. Local executive bodies shall conduct an inventory of the housing stock and keep records of functioning multi-apartment residential buildings, filling out the final information in the centralized collection information system in accordance with the mandatory fields in accordance with the appendix to these Rules. The frequency of updating and confirming the final information in the centralized collection information system shall be at least once a year.</w:t>
      </w:r>
    </w:p>
    <w:p>
      <w:pPr>
        <w:spacing w:after="0"/>
        <w:ind w:left="0"/>
        <w:jc w:val="both"/>
      </w:pPr>
      <w:r>
        <w:rPr>
          <w:rFonts w:ascii="Times New Roman"/>
          <w:b w:val="false"/>
          <w:i w:val="false"/>
          <w:color w:val="000000"/>
          <w:sz w:val="28"/>
        </w:rPr>
        <w:t>
      14. When posting information through the interaction of other housing and communal services information systems with the centralized collection information system, the housing and communal services information system subject, who is the owner and (or) possessor of the housing and communal services information system object, shall submit to the centralized collection information system an application for registration and integration of the housing and communal services information system object (hereinafter referred to as the Application).</w:t>
      </w:r>
    </w:p>
    <w:p>
      <w:pPr>
        <w:spacing w:after="0"/>
        <w:ind w:left="0"/>
        <w:jc w:val="both"/>
      </w:pPr>
      <w:r>
        <w:rPr>
          <w:rFonts w:ascii="Times New Roman"/>
          <w:b w:val="false"/>
          <w:i w:val="false"/>
          <w:color w:val="000000"/>
          <w:sz w:val="28"/>
        </w:rPr>
        <w:t>
      15. Housing and public utilities IT entities shall indicate their functions (competencies) in the centralized collection information system in their application by selecting them from the directory contained in the centralized collection information system. If a housing and public utilities IT entity carries out several activities related to different functions listed in the specified directory, the housing and public utilities IT entity shall indicate several functions in the centralized collection information system.</w:t>
      </w:r>
    </w:p>
    <w:p>
      <w:pPr>
        <w:spacing w:after="0"/>
        <w:ind w:left="0"/>
        <w:jc w:val="both"/>
      </w:pPr>
      <w:r>
        <w:rPr>
          <w:rFonts w:ascii="Times New Roman"/>
          <w:b w:val="false"/>
          <w:i w:val="false"/>
          <w:color w:val="000000"/>
          <w:sz w:val="28"/>
        </w:rPr>
        <w:t>
      16. The administrator of the centralized collection information system shall review the application within 5 working days and notify the housing and public utilities information system entity, which is the owner and/or occupier of the housing and public utilities information system facility, of the approval or rejection of the application to the e-mail address specified in the application.</w:t>
      </w:r>
    </w:p>
    <w:p>
      <w:pPr>
        <w:spacing w:after="0"/>
        <w:ind w:left="0"/>
        <w:jc w:val="both"/>
      </w:pPr>
      <w:r>
        <w:rPr>
          <w:rFonts w:ascii="Times New Roman"/>
          <w:b w:val="false"/>
          <w:i w:val="false"/>
          <w:color w:val="000000"/>
          <w:sz w:val="28"/>
        </w:rPr>
        <w:t>
      The administrator of the centralized collection information system shall refuse an application if the information provided in the application is incomplete.</w:t>
      </w:r>
    </w:p>
    <w:p>
      <w:pPr>
        <w:spacing w:after="0"/>
        <w:ind w:left="0"/>
        <w:jc w:val="both"/>
      </w:pPr>
      <w:r>
        <w:rPr>
          <w:rFonts w:ascii="Times New Roman"/>
          <w:b w:val="false"/>
          <w:i w:val="false"/>
          <w:color w:val="000000"/>
          <w:sz w:val="28"/>
        </w:rPr>
        <w:t>
      17. If the Administrator of the centralized collection information system approves the application, the authorized body shall agree with the housing and utilities information system entity, which is the owner and (or) possessor of the housing and utilities information system facility, on the integration of the housing and utilities information system facility with the centralized collection information system and conduct testing of the housing and utilities information system facility.</w:t>
      </w:r>
    </w:p>
    <w:p>
      <w:pPr>
        <w:spacing w:after="0"/>
        <w:ind w:left="0"/>
        <w:jc w:val="both"/>
      </w:pPr>
      <w:r>
        <w:rPr>
          <w:rFonts w:ascii="Times New Roman"/>
          <w:b w:val="false"/>
          <w:i w:val="false"/>
          <w:color w:val="000000"/>
          <w:sz w:val="28"/>
        </w:rPr>
        <w:t>
      18. When integrating a housing and communal services information system or a centralized data collection information system with the information systems of the “electronic government” of a state body, the integration shall be carried out in accordance with the legislation on information technology of the Republic of Kazakhstan.</w:t>
      </w:r>
    </w:p>
    <w:p>
      <w:pPr>
        <w:spacing w:after="0"/>
        <w:ind w:left="0"/>
        <w:jc w:val="both"/>
      </w:pPr>
      <w:r>
        <w:rPr>
          <w:rFonts w:ascii="Times New Roman"/>
          <w:b w:val="false"/>
          <w:i w:val="false"/>
          <w:color w:val="000000"/>
          <w:sz w:val="28"/>
        </w:rPr>
        <w:t>
      19. Access to information and posting of information in the centralized collection information system shall be provided to central government agencies, local executive bodies, other government agencies and utility service providers through a personal account, in accordance with an agreement concluded with the authorized body.</w:t>
      </w:r>
    </w:p>
    <w:p>
      <w:pPr>
        <w:spacing w:after="0"/>
        <w:ind w:left="0"/>
        <w:jc w:val="both"/>
      </w:pPr>
      <w:r>
        <w:rPr>
          <w:rFonts w:ascii="Times New Roman"/>
          <w:b w:val="false"/>
          <w:i w:val="false"/>
          <w:color w:val="000000"/>
          <w:sz w:val="28"/>
        </w:rPr>
        <w:t>
      Subjects of information technology in the sphere of public utilities, in the absence of ownership and (or) possession of a housing and public utilities information technology facility, shall keep records of the information specified in subparagraphs 9), 10), 12), 14 ) and 15) of paragraph 4 of these Rules in the centralized collection information system through a personal account upon registration in accordance with the agreement.</w:t>
      </w:r>
    </w:p>
    <w:p>
      <w:pPr>
        <w:spacing w:after="0"/>
        <w:ind w:left="0"/>
        <w:jc w:val="both"/>
      </w:pPr>
      <w:r>
        <w:rPr>
          <w:rFonts w:ascii="Times New Roman"/>
          <w:b w:val="false"/>
          <w:i w:val="false"/>
          <w:color w:val="000000"/>
          <w:sz w:val="28"/>
        </w:rPr>
        <w:t>
      20. Access rights of housing and communal services IT subjects to the centralized data collection information system shall be terminated in the following cases:</w:t>
      </w:r>
    </w:p>
    <w:p>
      <w:pPr>
        <w:spacing w:after="0"/>
        <w:ind w:left="0"/>
        <w:jc w:val="both"/>
      </w:pPr>
      <w:r>
        <w:rPr>
          <w:rFonts w:ascii="Times New Roman"/>
          <w:b w:val="false"/>
          <w:i w:val="false"/>
          <w:color w:val="000000"/>
          <w:sz w:val="28"/>
        </w:rPr>
        <w:t>
      1) expiration of the period for which access rights were granted in accordance with the agreement concluded with the authorized body;</w:t>
      </w:r>
    </w:p>
    <w:p>
      <w:pPr>
        <w:spacing w:after="0"/>
        <w:ind w:left="0"/>
        <w:jc w:val="both"/>
      </w:pPr>
      <w:r>
        <w:rPr>
          <w:rFonts w:ascii="Times New Roman"/>
          <w:b w:val="false"/>
          <w:i w:val="false"/>
          <w:color w:val="000000"/>
          <w:sz w:val="28"/>
        </w:rPr>
        <w:t>
      2) placement in the information system of a centralized collection of information on the revocation of access rights;</w:t>
      </w:r>
    </w:p>
    <w:p>
      <w:pPr>
        <w:spacing w:after="0"/>
        <w:ind w:left="0"/>
        <w:jc w:val="both"/>
      </w:pPr>
      <w:r>
        <w:rPr>
          <w:rFonts w:ascii="Times New Roman"/>
          <w:b w:val="false"/>
          <w:i w:val="false"/>
          <w:color w:val="000000"/>
          <w:sz w:val="28"/>
        </w:rPr>
        <w:t>
      3) posting in the centralized information collection information system about the refusal of access rights by a person who was granted access rights to perform actions in the centralized information collection information system on behalf of the housing and communal services information system entity;</w:t>
      </w:r>
    </w:p>
    <w:p>
      <w:pPr>
        <w:spacing w:after="0"/>
        <w:ind w:left="0"/>
        <w:jc w:val="both"/>
      </w:pPr>
      <w:r>
        <w:rPr>
          <w:rFonts w:ascii="Times New Roman"/>
          <w:b w:val="false"/>
          <w:i w:val="false"/>
          <w:color w:val="000000"/>
          <w:sz w:val="28"/>
        </w:rPr>
        <w:t>
      4) termination of access rights of a user of the centralized collection information system who has granted authority to perform actions in the centralized collection information system on his behalf to another person;</w:t>
      </w:r>
    </w:p>
    <w:p>
      <w:pPr>
        <w:spacing w:after="0"/>
        <w:ind w:left="0"/>
        <w:jc w:val="both"/>
      </w:pPr>
      <w:r>
        <w:rPr>
          <w:rFonts w:ascii="Times New Roman"/>
          <w:b w:val="false"/>
          <w:i w:val="false"/>
          <w:color w:val="000000"/>
          <w:sz w:val="28"/>
        </w:rPr>
        <w:t>
      5) termination or identification of the absence of grounds based on which a person was granted access rights;</w:t>
      </w:r>
    </w:p>
    <w:p>
      <w:pPr>
        <w:spacing w:after="0"/>
        <w:ind w:left="0"/>
        <w:jc w:val="both"/>
      </w:pPr>
      <w:r>
        <w:rPr>
          <w:rFonts w:ascii="Times New Roman"/>
          <w:b w:val="false"/>
          <w:i w:val="false"/>
          <w:color w:val="000000"/>
          <w:sz w:val="28"/>
        </w:rPr>
        <w:t>
      6) identification of the fact that the subject of housing and communal services information technology submitted false information in the application to the centralized collection information system;</w:t>
      </w:r>
    </w:p>
    <w:p>
      <w:pPr>
        <w:spacing w:after="0"/>
        <w:ind w:left="0"/>
        <w:jc w:val="both"/>
      </w:pPr>
      <w:r>
        <w:rPr>
          <w:rFonts w:ascii="Times New Roman"/>
          <w:b w:val="false"/>
          <w:i w:val="false"/>
          <w:color w:val="000000"/>
          <w:sz w:val="28"/>
        </w:rPr>
        <w:t>
      7) in other cases, provided for by the legislation of the Republic of Kazakhstan.</w:t>
      </w:r>
    </w:p>
    <w:p>
      <w:pPr>
        <w:spacing w:after="0"/>
        <w:ind w:left="0"/>
        <w:jc w:val="both"/>
      </w:pPr>
      <w:r>
        <w:rPr>
          <w:rFonts w:ascii="Times New Roman"/>
          <w:b w:val="false"/>
          <w:i w:val="false"/>
          <w:color w:val="000000"/>
          <w:sz w:val="28"/>
        </w:rPr>
        <w:t>
      21. Subjects of information technology in the housing and communal services sector shall have access to the open part of the centralized collection information system and to the information posted in it without undergoing registration procedures.</w:t>
      </w:r>
    </w:p>
    <w:p>
      <w:pPr>
        <w:spacing w:after="0"/>
        <w:ind w:left="0"/>
        <w:jc w:val="both"/>
      </w:pPr>
      <w:r>
        <w:rPr>
          <w:rFonts w:ascii="Times New Roman"/>
          <w:b w:val="false"/>
          <w:i w:val="false"/>
          <w:color w:val="000000"/>
          <w:sz w:val="28"/>
        </w:rPr>
        <w:t>
      22. Access to the closed part of the system and to the information contained therein shall be ensured by providing functional capabilities in personal accounts intended for work in the centralized collection information system, and (or) using other information technology objects after completing the registration procedure and concluding an agreement with the authorized body.</w:t>
      </w:r>
    </w:p>
    <w:p>
      <w:pPr>
        <w:spacing w:after="0"/>
        <w:ind w:left="0"/>
        <w:jc w:val="both"/>
      </w:pPr>
      <w:r>
        <w:rPr>
          <w:rFonts w:ascii="Times New Roman"/>
          <w:b w:val="false"/>
          <w:i w:val="false"/>
          <w:color w:val="000000"/>
          <w:sz w:val="28"/>
        </w:rPr>
        <w:t>
      23. Storage of information in housing and communal services information systems shall be ensured by housing and communal services information systems entities and in the centralized collection information system by the authorized body.</w:t>
      </w:r>
    </w:p>
    <w:p>
      <w:pPr>
        <w:spacing w:after="0"/>
        <w:ind w:left="0"/>
        <w:jc w:val="both"/>
      </w:pPr>
      <w:r>
        <w:rPr>
          <w:rFonts w:ascii="Times New Roman"/>
          <w:b w:val="false"/>
          <w:i w:val="false"/>
          <w:color w:val="000000"/>
          <w:sz w:val="28"/>
        </w:rPr>
        <w:t>
      24. The subjects of information technology in the housing and communal services sector shall transfer information to the centralized collection information system in compliance with the requirements of the legislation of the Republic of Kazakhstan in the areas of information technology, information security and personal data protection.</w:t>
      </w:r>
    </w:p>
    <w:p>
      <w:pPr>
        <w:spacing w:after="0"/>
        <w:ind w:left="0"/>
        <w:jc w:val="both"/>
      </w:pPr>
      <w:r>
        <w:rPr>
          <w:rFonts w:ascii="Times New Roman"/>
          <w:b w:val="false"/>
          <w:i w:val="false"/>
          <w:color w:val="000000"/>
          <w:sz w:val="28"/>
        </w:rPr>
        <w:t>
      25. The authorized body or the Administrator shall provide or distribute, including transfer, information about the subjects of information technology in the housing and communal services sector, in compliance with the requirements of the legislation of the Republic of Kazakhstan in the areas of information technology, ensuring information security and protecting personal data.</w:t>
      </w:r>
    </w:p>
    <w:p>
      <w:pPr>
        <w:spacing w:after="0"/>
        <w:ind w:left="0"/>
        <w:jc w:val="left"/>
      </w:pPr>
      <w:r>
        <w:rPr>
          <w:rFonts w:ascii="Times New Roman"/>
          <w:b/>
          <w:i w:val="false"/>
          <w:color w:val="000000"/>
        </w:rPr>
        <w:t xml:space="preserve"> Chapter 4. Functioning of information technology facilities in the housing and communal services sector</w:t>
      </w:r>
    </w:p>
    <w:p>
      <w:pPr>
        <w:spacing w:after="0"/>
        <w:ind w:left="0"/>
        <w:jc w:val="both"/>
      </w:pPr>
      <w:r>
        <w:rPr>
          <w:rFonts w:ascii="Times New Roman"/>
          <w:b w:val="false"/>
          <w:i w:val="false"/>
          <w:color w:val="000000"/>
          <w:sz w:val="28"/>
        </w:rPr>
        <w:t>
      26. To ensure the reliability and safety of the functioning of housing and communal services information technology facilities, technical means used for storing, processing and transmitting information shall be are carried out in accordance with the legislation of the Republic of Kazakhstan in the areas of information technology, ensuring information security and protecting personal data, as well as the standards in force in the territory of the Republic of Kazakhstan.</w:t>
      </w:r>
    </w:p>
    <w:p>
      <w:pPr>
        <w:spacing w:after="0"/>
        <w:ind w:left="0"/>
        <w:jc w:val="both"/>
      </w:pPr>
      <w:r>
        <w:rPr>
          <w:rFonts w:ascii="Times New Roman"/>
          <w:b w:val="false"/>
          <w:i w:val="false"/>
          <w:color w:val="000000"/>
          <w:sz w:val="28"/>
        </w:rPr>
        <w:t>
      27. Voting of the owner of an apartment, non-residential premises, parking spaces, storage rooms shall be carried out through information objects in the sphere of housing relations and housing and communal services, a cellular subscriber device and using other methods not prohibited by the legislation of the Republic of Kazakhstan, with mandatory identification of the owner of the apartment, non-residential premises, parking spaces, storage rooms.</w:t>
      </w:r>
    </w:p>
    <w:p>
      <w:pPr>
        <w:spacing w:after="0"/>
        <w:ind w:left="0"/>
        <w:jc w:val="both"/>
      </w:pPr>
      <w:r>
        <w:rPr>
          <w:rFonts w:ascii="Times New Roman"/>
          <w:b w:val="false"/>
          <w:i w:val="false"/>
          <w:color w:val="000000"/>
          <w:sz w:val="28"/>
        </w:rPr>
        <w:t>
      The results of electronic voting shall be recorded through information objects in the field of housing relations and housing and communal services.</w:t>
      </w:r>
    </w:p>
    <w:p>
      <w:pPr>
        <w:spacing w:after="0"/>
        <w:ind w:left="0"/>
        <w:jc w:val="both"/>
      </w:pPr>
      <w:r>
        <w:rPr>
          <w:rFonts w:ascii="Times New Roman"/>
          <w:b w:val="false"/>
          <w:i w:val="false"/>
          <w:color w:val="000000"/>
          <w:sz w:val="28"/>
        </w:rPr>
        <w:t>
      When summing up the voting results, the votes of the owners of apartments, non-residential premises, parking spaces, and storage rooms shall be taken into account at a meeting held in person and through an information object in the sphere of housing relations and housing and public utilities, by means of a written survey and through an information object in the sphere of housing relations and housing and public utilities.</w:t>
      </w:r>
    </w:p>
    <w:p>
      <w:pPr>
        <w:spacing w:after="0"/>
        <w:ind w:left="0"/>
        <w:jc w:val="both"/>
      </w:pPr>
      <w:r>
        <w:rPr>
          <w:rFonts w:ascii="Times New Roman"/>
          <w:b w:val="false"/>
          <w:i w:val="false"/>
          <w:color w:val="000000"/>
          <w:sz w:val="28"/>
        </w:rPr>
        <w:t>
      When generating an electronic document, meeting minutes shall be stored in accordance with the Law of the Republic of Kazakhstan “On Electronic Documents and Electronic Digital Signatures”.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Paragraph 27 – as amended by Order № 379 of the Minister of Industry and Construction of the Republic of Kazakhstan dated September 22, 2025 (shall come into effect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28. The information technology facility in the sphere of housing relations and the housing stock shall provide access to an information resource to ensure verification of an electronic digital signature in an electronic document, including one printed on paper.</w:t>
      </w:r>
    </w:p>
    <w:p>
      <w:pPr>
        <w:spacing w:after="0"/>
        <w:ind w:left="0"/>
        <w:jc w:val="both"/>
      </w:pPr>
      <w:r>
        <w:rPr>
          <w:rFonts w:ascii="Times New Roman"/>
          <w:b w:val="false"/>
          <w:i w:val="false"/>
          <w:color w:val="000000"/>
          <w:sz w:val="28"/>
        </w:rPr>
        <w:t>
      29. Housing and communal services information systems shall be provided with the function of receiving and transmitting applications from consumers of communal services to suppliers of communal services through integration with the centralized collection information system.</w:t>
      </w:r>
    </w:p>
    <w:p>
      <w:pPr>
        <w:spacing w:after="0"/>
        <w:ind w:left="0"/>
        <w:jc w:val="both"/>
      </w:pPr>
      <w:r>
        <w:rPr>
          <w:rFonts w:ascii="Times New Roman"/>
          <w:b w:val="false"/>
          <w:i w:val="false"/>
          <w:color w:val="000000"/>
          <w:sz w:val="28"/>
        </w:rPr>
        <w:t>
      30. The subject of housing and communal services information technology, who has posted information through a personal account in the housing and communal services information technology facility, shall receive an automatic notification of confirmation of the posting of information, with the date of receipt and transfer of the information recorded.</w:t>
      </w:r>
    </w:p>
    <w:p>
      <w:pPr>
        <w:spacing w:after="0"/>
        <w:ind w:left="0"/>
        <w:jc w:val="both"/>
      </w:pPr>
      <w:r>
        <w:rPr>
          <w:rFonts w:ascii="Times New Roman"/>
          <w:b w:val="false"/>
          <w:i w:val="false"/>
          <w:color w:val="000000"/>
          <w:sz w:val="28"/>
        </w:rPr>
        <w:t>
      31. The use of functionality in housing and communal services information technology facilities shall be carried out in accordance with the access rights granted to housing and communal services information technology entities.</w:t>
      </w:r>
    </w:p>
    <w:p>
      <w:pPr>
        <w:spacing w:after="0"/>
        <w:ind w:left="0"/>
        <w:jc w:val="both"/>
      </w:pPr>
      <w:r>
        <w:rPr>
          <w:rFonts w:ascii="Times New Roman"/>
          <w:b w:val="false"/>
          <w:i w:val="false"/>
          <w:color w:val="000000"/>
          <w:sz w:val="28"/>
        </w:rPr>
        <w:t>
      32. Centralized collection information systems provide information to housing and communal services IT facilities through integration, in accordance with an agreement concluded with the authorized body.</w:t>
      </w:r>
    </w:p>
    <w:p>
      <w:pPr>
        <w:spacing w:after="0"/>
        <w:ind w:left="0"/>
        <w:jc w:val="both"/>
      </w:pPr>
      <w:r>
        <w:rPr>
          <w:rFonts w:ascii="Times New Roman"/>
          <w:b w:val="false"/>
          <w:i w:val="false"/>
          <w:color w:val="000000"/>
          <w:sz w:val="28"/>
        </w:rPr>
        <w:t>
      33. Housing and communal services IT facilities shall be provided with continuous operation.</w:t>
      </w:r>
    </w:p>
    <w:p>
      <w:pPr>
        <w:spacing w:after="0"/>
        <w:ind w:left="0"/>
        <w:jc w:val="both"/>
      </w:pPr>
      <w:r>
        <w:rPr>
          <w:rFonts w:ascii="Times New Roman"/>
          <w:b w:val="false"/>
          <w:i w:val="false"/>
          <w:color w:val="000000"/>
          <w:sz w:val="28"/>
        </w:rPr>
        <w:t>
      34. The authorized body and the owner or holder of the information technology facility shall ensure the following:</w:t>
      </w:r>
    </w:p>
    <w:p>
      <w:pPr>
        <w:spacing w:after="0"/>
        <w:ind w:left="0"/>
        <w:jc w:val="both"/>
      </w:pPr>
      <w:r>
        <w:rPr>
          <w:rFonts w:ascii="Times New Roman"/>
          <w:b w:val="false"/>
          <w:i w:val="false"/>
          <w:color w:val="000000"/>
          <w:sz w:val="28"/>
        </w:rPr>
        <w:t>
      1) uninterrupted year-round and round-the-clock operation of housing and communal services information technology facilities;</w:t>
      </w:r>
    </w:p>
    <w:p>
      <w:pPr>
        <w:spacing w:after="0"/>
        <w:ind w:left="0"/>
        <w:jc w:val="both"/>
      </w:pPr>
      <w:r>
        <w:rPr>
          <w:rFonts w:ascii="Times New Roman"/>
          <w:b w:val="false"/>
          <w:i w:val="false"/>
          <w:color w:val="000000"/>
          <w:sz w:val="28"/>
        </w:rPr>
        <w:t>
      2) fast (no more than one hour) restoration of the operability of housing and communal services information systems facilities in the event of their failure;</w:t>
      </w:r>
    </w:p>
    <w:p>
      <w:pPr>
        <w:spacing w:after="0"/>
        <w:ind w:left="0"/>
        <w:jc w:val="both"/>
      </w:pPr>
      <w:r>
        <w:rPr>
          <w:rFonts w:ascii="Times New Roman"/>
          <w:b w:val="false"/>
          <w:i w:val="false"/>
          <w:color w:val="000000"/>
          <w:sz w:val="28"/>
        </w:rPr>
        <w:t>
      3) continuous monitoring of events and the current state of the centralized data collection information system and housing and communal services information systems, which allows for continuous monitoring of the availability of the centralized data collection information system software and hardware complex and the current state of equipment use, as well as immediate generation of notifications to owners and/or holders of housing and communal services information systems regarding failure of the centralized data collection information system.</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Appendix </w:t>
            </w:r>
            <w:r>
              <w:br/>
            </w:r>
            <w:r>
              <w:rPr>
                <w:rFonts w:ascii="Times New Roman"/>
                <w:b w:val="false"/>
                <w:i w:val="false"/>
                <w:color w:val="000000"/>
                <w:sz w:val="20"/>
              </w:rPr>
              <w:t>to the Rules for the formation, processing, and centralized collection and storage of information in electronic form, including the operation of information technology facilities in the sphere of housing relations and housing and communal services</w:t>
            </w:r>
          </w:p>
        </w:tc>
      </w:tr>
    </w:tbl>
    <w:bookmarkStart w:name="z102" w:id="7"/>
    <w:p>
      <w:pPr>
        <w:spacing w:after="0"/>
        <w:ind w:left="0"/>
        <w:jc w:val="left"/>
      </w:pPr>
      <w:r>
        <w:rPr>
          <w:rFonts w:ascii="Times New Roman"/>
          <w:b/>
          <w:i w:val="false"/>
          <w:color w:val="000000"/>
        </w:rPr>
        <w:t xml:space="preserve"> List of required fields of the Table for filling in the summary data in the information system for centralized collection and storage of electronic information resources in the field of housing relations and housing and communal services (IS for centralized collection) based on the results of the registration of functioning multi-apartment residential buildings</w:t>
      </w:r>
    </w:p>
    <w:bookmarkEnd w:id="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Item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Field name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Description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Data type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Cadastral number of the house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Selecting, entering and/or changing the cadastral number of a house.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Line, 200 characters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Classifier code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Classifier code of administrative-territorial objects from the Address Register.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Line, 500 characters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code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House address registration code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String, 16 characters, leading zeros possible.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Target purpose (letter according to plan)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intended use (plan letter) of a house. Select a value from the directory.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Meaning from the directory "Targeted purposes": for the construction and use of a multi-apartment residential building (hereinafter referred to as MRB)</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Fund category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fund category. Select a value from the directory.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 from the directory "Fund categories": </w:t>
            </w:r>
          </w:p>
          <w:p>
            <w:pPr>
              <w:spacing w:after="20"/>
              <w:ind w:left="20"/>
              <w:jc w:val="both"/>
            </w:pPr>
            <w:r>
              <w:rPr>
                <w:rFonts w:ascii="Times New Roman"/>
                <w:b w:val="false"/>
                <w:i w:val="false"/>
                <w:color w:val="000000"/>
                <w:sz w:val="20"/>
              </w:rPr>
              <w:t xml:space="preserve">- Residential </w:t>
            </w:r>
          </w:p>
          <w:p>
            <w:pPr>
              <w:spacing w:after="20"/>
              <w:ind w:left="20"/>
              <w:jc w:val="both"/>
            </w:pPr>
            <w:r>
              <w:rPr>
                <w:rFonts w:ascii="Times New Roman"/>
                <w:b w:val="false"/>
                <w:i w:val="false"/>
                <w:color w:val="000000"/>
                <w:sz w:val="20"/>
              </w:rPr>
              <w:t>
- Non-residential</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Condominium registration availability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Indication of the state registration of the condominium property.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Values: </w:t>
            </w:r>
          </w:p>
          <w:p>
            <w:pPr>
              <w:spacing w:after="20"/>
              <w:ind w:left="20"/>
              <w:jc w:val="both"/>
            </w:pPr>
            <w:r>
              <w:rPr>
                <w:rFonts w:ascii="Times New Roman"/>
                <w:b w:val="false"/>
                <w:i w:val="false"/>
                <w:color w:val="000000"/>
                <w:sz w:val="20"/>
              </w:rPr>
              <w:t xml:space="preserve">Yes </w:t>
            </w:r>
          </w:p>
          <w:p>
            <w:pPr>
              <w:spacing w:after="20"/>
              <w:ind w:left="20"/>
              <w:jc w:val="both"/>
            </w:pPr>
            <w:r>
              <w:rPr>
                <w:rFonts w:ascii="Times New Roman"/>
                <w:b w:val="false"/>
                <w:i w:val="false"/>
                <w:color w:val="000000"/>
                <w:sz w:val="20"/>
              </w:rPr>
              <w:t>
No</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Availability of technical passport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Indication of the availability of a technical passport for the house.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Values: </w:t>
            </w:r>
          </w:p>
          <w:p>
            <w:pPr>
              <w:spacing w:after="20"/>
              <w:ind w:left="20"/>
              <w:jc w:val="both"/>
            </w:pPr>
            <w:r>
              <w:rPr>
                <w:rFonts w:ascii="Times New Roman"/>
                <w:b w:val="false"/>
                <w:i w:val="false"/>
                <w:color w:val="000000"/>
                <w:sz w:val="20"/>
              </w:rPr>
              <w:t xml:space="preserve">Yes </w:t>
            </w:r>
          </w:p>
          <w:p>
            <w:pPr>
              <w:spacing w:after="20"/>
              <w:ind w:left="20"/>
              <w:jc w:val="both"/>
            </w:pPr>
            <w:r>
              <w:rPr>
                <w:rFonts w:ascii="Times New Roman"/>
                <w:b w:val="false"/>
                <w:i w:val="false"/>
                <w:color w:val="000000"/>
                <w:sz w:val="20"/>
              </w:rPr>
              <w:t>
No</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Balance sheet ownership</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balance sheet ownership. Select a value from the directory.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 from the reference book "Balance Sheet Attribution": </w:t>
            </w:r>
          </w:p>
          <w:p>
            <w:pPr>
              <w:spacing w:after="20"/>
              <w:ind w:left="20"/>
              <w:jc w:val="both"/>
            </w:pPr>
            <w:r>
              <w:rPr>
                <w:rFonts w:ascii="Times New Roman"/>
                <w:b w:val="false"/>
                <w:i w:val="false"/>
                <w:color w:val="000000"/>
                <w:sz w:val="20"/>
              </w:rPr>
              <w:t xml:space="preserve">- Private (if there is common property in a condominium) - Private (all apartments and non-residential premises belong to a single owner) </w:t>
            </w:r>
          </w:p>
          <w:p>
            <w:pPr>
              <w:spacing w:after="20"/>
              <w:ind w:left="20"/>
              <w:jc w:val="both"/>
            </w:pPr>
            <w:r>
              <w:rPr>
                <w:rFonts w:ascii="Times New Roman"/>
                <w:b w:val="false"/>
                <w:i w:val="false"/>
                <w:color w:val="000000"/>
                <w:sz w:val="20"/>
              </w:rPr>
              <w:t xml:space="preserve">- State (state-owned enterprises); </w:t>
            </w:r>
          </w:p>
          <w:p>
            <w:pPr>
              <w:spacing w:after="20"/>
              <w:ind w:left="20"/>
              <w:jc w:val="both"/>
            </w:pPr>
            <w:r>
              <w:rPr>
                <w:rFonts w:ascii="Times New Roman"/>
                <w:b w:val="false"/>
                <w:i w:val="false"/>
                <w:color w:val="000000"/>
                <w:sz w:val="20"/>
              </w:rPr>
              <w:t>- State (state institutions)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Number of elevators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Indication of the availability of elevators in MRB.</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Non-negative integer or zero if none exists.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Availability of electricity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Indication of the presence of electricity connection in MRB.</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Values: </w:t>
            </w:r>
          </w:p>
          <w:p>
            <w:pPr>
              <w:spacing w:after="20"/>
              <w:ind w:left="20"/>
              <w:jc w:val="both"/>
            </w:pPr>
            <w:r>
              <w:rPr>
                <w:rFonts w:ascii="Times New Roman"/>
                <w:b w:val="false"/>
                <w:i w:val="false"/>
                <w:color w:val="000000"/>
                <w:sz w:val="20"/>
              </w:rPr>
              <w:t xml:space="preserve">Yes </w:t>
            </w:r>
          </w:p>
          <w:p>
            <w:pPr>
              <w:spacing w:after="20"/>
              <w:ind w:left="20"/>
              <w:jc w:val="both"/>
            </w:pPr>
            <w:r>
              <w:rPr>
                <w:rFonts w:ascii="Times New Roman"/>
                <w:b w:val="false"/>
                <w:i w:val="false"/>
                <w:color w:val="000000"/>
                <w:sz w:val="20"/>
              </w:rPr>
              <w:t>
No</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Year of construction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year the building was built, if it differs from the year it was commissioned.</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Non-negative integer indicating the year of commissioning.</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Major repairs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&lt; date.month.year &gt; of the last major maintenance.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Date&lt;date.month. year&gt;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Total number of rooms in the house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Total number of premises in the building from the Address Register: </w:t>
            </w:r>
          </w:p>
          <w:p>
            <w:pPr>
              <w:spacing w:after="20"/>
              <w:ind w:left="20"/>
              <w:jc w:val="both"/>
            </w:pPr>
            <w:r>
              <w:rPr>
                <w:rFonts w:ascii="Times New Roman"/>
                <w:b w:val="false"/>
                <w:i w:val="false"/>
                <w:color w:val="000000"/>
                <w:sz w:val="20"/>
              </w:rPr>
              <w:t xml:space="preserve">Residential </w:t>
            </w:r>
          </w:p>
          <w:p>
            <w:pPr>
              <w:spacing w:after="20"/>
              <w:ind w:left="20"/>
              <w:jc w:val="both"/>
            </w:pPr>
            <w:r>
              <w:rPr>
                <w:rFonts w:ascii="Times New Roman"/>
                <w:b w:val="false"/>
                <w:i w:val="false"/>
                <w:color w:val="000000"/>
                <w:sz w:val="20"/>
              </w:rPr>
              <w:t xml:space="preserve">Non-residential </w:t>
            </w:r>
          </w:p>
          <w:p>
            <w:pPr>
              <w:spacing w:after="20"/>
              <w:ind w:left="20"/>
              <w:jc w:val="both"/>
            </w:pPr>
            <w:r>
              <w:rPr>
                <w:rFonts w:ascii="Times New Roman"/>
                <w:b w:val="false"/>
                <w:i w:val="false"/>
                <w:color w:val="000000"/>
                <w:sz w:val="20"/>
              </w:rPr>
              <w:t>Parking spaces.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Non-negative integer</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Number of floors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number of floors in the building.</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Non-negative integer</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Number of apartments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number of premises with the type "Apartment" in the building from the Address Register.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Non-negative integer</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Number of non-residential premises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number of premises with the type "Non-residential premises" in the building from the Address Register.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Non-negative integer</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Type of heat supply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heat supply type. Select a value from the reference book.</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 from the directory "Heat supply type": </w:t>
            </w:r>
          </w:p>
          <w:p>
            <w:pPr>
              <w:spacing w:after="20"/>
              <w:ind w:left="20"/>
              <w:jc w:val="both"/>
            </w:pPr>
            <w:r>
              <w:rPr>
                <w:rFonts w:ascii="Times New Roman"/>
                <w:b w:val="false"/>
                <w:i w:val="false"/>
                <w:color w:val="000000"/>
                <w:sz w:val="20"/>
              </w:rPr>
              <w:t>- central - autonomous - individual units - none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Type of heat supply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heating type. If the heating type is central, select a value from the directory.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 from the directory "Type of heat supply": </w:t>
            </w:r>
          </w:p>
          <w:p>
            <w:pPr>
              <w:spacing w:after="20"/>
              <w:ind w:left="20"/>
              <w:jc w:val="both"/>
            </w:pPr>
            <w:r>
              <w:rPr>
                <w:rFonts w:ascii="Times New Roman"/>
                <w:b w:val="false"/>
                <w:i w:val="false"/>
                <w:color w:val="000000"/>
                <w:sz w:val="20"/>
              </w:rPr>
              <w:t xml:space="preserve">- open </w:t>
            </w:r>
          </w:p>
          <w:p>
            <w:pPr>
              <w:spacing w:after="20"/>
              <w:ind w:left="20"/>
              <w:jc w:val="both"/>
            </w:pPr>
            <w:r>
              <w:rPr>
                <w:rFonts w:ascii="Times New Roman"/>
                <w:b w:val="false"/>
                <w:i w:val="false"/>
                <w:color w:val="000000"/>
                <w:sz w:val="20"/>
              </w:rPr>
              <w:t>
- closed</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Gas supply type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gas supply type. Select a value from the directory.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 from the directory "Gas supply type": </w:t>
            </w:r>
          </w:p>
          <w:p>
            <w:pPr>
              <w:spacing w:after="20"/>
              <w:ind w:left="20"/>
              <w:jc w:val="both"/>
            </w:pPr>
            <w:r>
              <w:rPr>
                <w:rFonts w:ascii="Times New Roman"/>
                <w:b w:val="false"/>
                <w:i w:val="false"/>
                <w:color w:val="000000"/>
                <w:sz w:val="20"/>
              </w:rPr>
              <w:t xml:space="preserve">- network (natural) </w:t>
            </w:r>
          </w:p>
          <w:p>
            <w:pPr>
              <w:spacing w:after="20"/>
              <w:ind w:left="20"/>
              <w:jc w:val="both"/>
            </w:pPr>
            <w:r>
              <w:rPr>
                <w:rFonts w:ascii="Times New Roman"/>
                <w:b w:val="false"/>
                <w:i w:val="false"/>
                <w:color w:val="000000"/>
                <w:sz w:val="20"/>
              </w:rPr>
              <w:t xml:space="preserve">
- liquefied (gas tank) </w:t>
            </w:r>
          </w:p>
          <w:p>
            <w:pPr>
              <w:spacing w:after="20"/>
              <w:ind w:left="20"/>
              <w:jc w:val="both"/>
            </w:pPr>
            <w:r>
              <w:rPr>
                <w:rFonts w:ascii="Times New Roman"/>
                <w:b w:val="false"/>
                <w:i w:val="false"/>
                <w:color w:val="000000"/>
                <w:sz w:val="20"/>
              </w:rPr>
              <w:t xml:space="preserve">
- liquefied (cylinders) </w:t>
            </w:r>
          </w:p>
          <w:p>
            <w:pPr>
              <w:spacing w:after="20"/>
              <w:ind w:left="20"/>
              <w:jc w:val="both"/>
            </w:pPr>
            <w:r>
              <w:rPr>
                <w:rFonts w:ascii="Times New Roman"/>
                <w:b w:val="false"/>
                <w:i w:val="false"/>
                <w:color w:val="000000"/>
                <w:sz w:val="20"/>
              </w:rPr>
              <w:t>
- absent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Availability of a gas pipeline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availability of a gas pipeline in MRB.</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Values: </w:t>
            </w:r>
          </w:p>
          <w:p>
            <w:pPr>
              <w:spacing w:after="20"/>
              <w:ind w:left="20"/>
              <w:jc w:val="both"/>
            </w:pPr>
            <w:r>
              <w:rPr>
                <w:rFonts w:ascii="Times New Roman"/>
                <w:b w:val="false"/>
                <w:i w:val="false"/>
                <w:color w:val="000000"/>
                <w:sz w:val="20"/>
              </w:rPr>
              <w:t xml:space="preserve">Yes </w:t>
            </w:r>
          </w:p>
          <w:p>
            <w:pPr>
              <w:spacing w:after="20"/>
              <w:ind w:left="20"/>
              <w:jc w:val="both"/>
            </w:pPr>
            <w:r>
              <w:rPr>
                <w:rFonts w:ascii="Times New Roman"/>
                <w:b w:val="false"/>
                <w:i w:val="false"/>
                <w:color w:val="000000"/>
                <w:sz w:val="20"/>
              </w:rPr>
              <w:t>
No</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Type of hot water supply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hot water supply type. Select a value from the reference book.</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 from the directory "Type of hot water supply": </w:t>
            </w:r>
          </w:p>
          <w:p>
            <w:pPr>
              <w:spacing w:after="20"/>
              <w:ind w:left="20"/>
              <w:jc w:val="both"/>
            </w:pPr>
            <w:r>
              <w:rPr>
                <w:rFonts w:ascii="Times New Roman"/>
                <w:b w:val="false"/>
                <w:i w:val="false"/>
                <w:color w:val="000000"/>
                <w:sz w:val="20"/>
              </w:rPr>
              <w:t xml:space="preserve">- central </w:t>
            </w:r>
          </w:p>
          <w:p>
            <w:pPr>
              <w:spacing w:after="20"/>
              <w:ind w:left="20"/>
              <w:jc w:val="both"/>
            </w:pPr>
            <w:r>
              <w:rPr>
                <w:rFonts w:ascii="Times New Roman"/>
                <w:b w:val="false"/>
                <w:i w:val="false"/>
                <w:color w:val="000000"/>
                <w:sz w:val="20"/>
              </w:rPr>
              <w:t xml:space="preserve">
- autonomous </w:t>
            </w:r>
          </w:p>
          <w:p>
            <w:pPr>
              <w:spacing w:after="20"/>
              <w:ind w:left="20"/>
              <w:jc w:val="both"/>
            </w:pPr>
            <w:r>
              <w:rPr>
                <w:rFonts w:ascii="Times New Roman"/>
                <w:b w:val="false"/>
                <w:i w:val="false"/>
                <w:color w:val="000000"/>
                <w:sz w:val="20"/>
              </w:rPr>
              <w:t>
- individual installations - none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Water supply type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water supply type. Select a value from the directory.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 from the directory "Type of water supply": </w:t>
            </w:r>
          </w:p>
          <w:p>
            <w:pPr>
              <w:spacing w:after="20"/>
              <w:ind w:left="20"/>
              <w:jc w:val="both"/>
            </w:pPr>
            <w:r>
              <w:rPr>
                <w:rFonts w:ascii="Times New Roman"/>
                <w:b w:val="false"/>
                <w:i w:val="false"/>
                <w:color w:val="000000"/>
                <w:sz w:val="20"/>
              </w:rPr>
              <w:t xml:space="preserve">- centralized (network or pump) </w:t>
            </w:r>
          </w:p>
          <w:p>
            <w:pPr>
              <w:spacing w:after="20"/>
              <w:ind w:left="20"/>
              <w:jc w:val="both"/>
            </w:pPr>
            <w:r>
              <w:rPr>
                <w:rFonts w:ascii="Times New Roman"/>
                <w:b w:val="false"/>
                <w:i w:val="false"/>
                <w:color w:val="000000"/>
                <w:sz w:val="20"/>
              </w:rPr>
              <w:t>- decentralized (wells, boreholes)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Availability of running water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availability of water supply in MRB.</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Values: </w:t>
            </w:r>
          </w:p>
          <w:p>
            <w:pPr>
              <w:spacing w:after="20"/>
              <w:ind w:left="20"/>
              <w:jc w:val="both"/>
            </w:pPr>
            <w:r>
              <w:rPr>
                <w:rFonts w:ascii="Times New Roman"/>
                <w:b w:val="false"/>
                <w:i w:val="false"/>
                <w:color w:val="000000"/>
                <w:sz w:val="20"/>
              </w:rPr>
              <w:t xml:space="preserve">Yes </w:t>
            </w:r>
          </w:p>
          <w:p>
            <w:pPr>
              <w:spacing w:after="20"/>
              <w:ind w:left="20"/>
              <w:jc w:val="both"/>
            </w:pPr>
            <w:r>
              <w:rPr>
                <w:rFonts w:ascii="Times New Roman"/>
                <w:b w:val="false"/>
                <w:i w:val="false"/>
                <w:color w:val="000000"/>
                <w:sz w:val="20"/>
              </w:rPr>
              <w:t>
No</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Type of drainage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drainage type. Select a value from the directory.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Meaning from the directory "Type of water disposal": </w:t>
            </w:r>
          </w:p>
          <w:p>
            <w:pPr>
              <w:spacing w:after="20"/>
              <w:ind w:left="20"/>
              <w:jc w:val="both"/>
            </w:pPr>
            <w:r>
              <w:rPr>
                <w:rFonts w:ascii="Times New Roman"/>
                <w:b w:val="false"/>
                <w:i w:val="false"/>
                <w:color w:val="000000"/>
                <w:sz w:val="20"/>
              </w:rPr>
              <w:t xml:space="preserve">- centralized </w:t>
            </w:r>
          </w:p>
          <w:p>
            <w:pPr>
              <w:spacing w:after="20"/>
              <w:ind w:left="20"/>
              <w:jc w:val="both"/>
            </w:pPr>
            <w:r>
              <w:rPr>
                <w:rFonts w:ascii="Times New Roman"/>
                <w:b w:val="false"/>
                <w:i w:val="false"/>
                <w:color w:val="000000"/>
                <w:sz w:val="20"/>
              </w:rPr>
              <w:t xml:space="preserve">
- septic tank (cesspool) </w:t>
            </w:r>
          </w:p>
          <w:p>
            <w:pPr>
              <w:spacing w:after="20"/>
              <w:ind w:left="20"/>
              <w:jc w:val="both"/>
            </w:pPr>
            <w:r>
              <w:rPr>
                <w:rFonts w:ascii="Times New Roman"/>
                <w:b w:val="false"/>
                <w:i w:val="false"/>
                <w:color w:val="000000"/>
                <w:sz w:val="20"/>
              </w:rPr>
              <w:t>
- outdoor toilet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Availability of sewerage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presence of sewerage in MRB.</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Values: </w:t>
            </w:r>
          </w:p>
          <w:p>
            <w:pPr>
              <w:spacing w:after="20"/>
              <w:ind w:left="20"/>
              <w:jc w:val="both"/>
            </w:pPr>
            <w:r>
              <w:rPr>
                <w:rFonts w:ascii="Times New Roman"/>
                <w:b w:val="false"/>
                <w:i w:val="false"/>
                <w:color w:val="000000"/>
                <w:sz w:val="20"/>
              </w:rPr>
              <w:t xml:space="preserve">Yes </w:t>
            </w:r>
          </w:p>
          <w:p>
            <w:pPr>
              <w:spacing w:after="20"/>
              <w:ind w:left="20"/>
              <w:jc w:val="both"/>
            </w:pPr>
            <w:r>
              <w:rPr>
                <w:rFonts w:ascii="Times New Roman"/>
                <w:b w:val="false"/>
                <w:i w:val="false"/>
                <w:color w:val="000000"/>
                <w:sz w:val="20"/>
              </w:rPr>
              <w:t>
No</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Number of common house meters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number of common house meters in a building.</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Non-negative integer</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Situation at home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situation at home. Select a value from the directory.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 from the reference book "House Situation": </w:t>
            </w:r>
          </w:p>
          <w:p>
            <w:pPr>
              <w:spacing w:after="20"/>
              <w:ind w:left="20"/>
              <w:jc w:val="both"/>
            </w:pPr>
            <w:r>
              <w:rPr>
                <w:rFonts w:ascii="Times New Roman"/>
                <w:b w:val="false"/>
                <w:i w:val="false"/>
                <w:color w:val="000000"/>
                <w:sz w:val="20"/>
              </w:rPr>
              <w:t xml:space="preserve">- functioning </w:t>
            </w:r>
          </w:p>
          <w:p>
            <w:pPr>
              <w:spacing w:after="20"/>
              <w:ind w:left="20"/>
              <w:jc w:val="both"/>
            </w:pPr>
            <w:r>
              <w:rPr>
                <w:rFonts w:ascii="Times New Roman"/>
                <w:b w:val="false"/>
                <w:i w:val="false"/>
                <w:color w:val="000000"/>
                <w:sz w:val="20"/>
              </w:rPr>
              <w:t xml:space="preserve">
- functioning (requires major repairs) </w:t>
            </w:r>
          </w:p>
          <w:p>
            <w:pPr>
              <w:spacing w:after="20"/>
              <w:ind w:left="20"/>
              <w:jc w:val="both"/>
            </w:pPr>
            <w:r>
              <w:rPr>
                <w:rFonts w:ascii="Times New Roman"/>
                <w:b w:val="false"/>
                <w:i w:val="false"/>
                <w:color w:val="000000"/>
                <w:sz w:val="20"/>
              </w:rPr>
              <w:t xml:space="preserve">
- functioning (included in the renovation program) </w:t>
            </w:r>
          </w:p>
          <w:p>
            <w:pPr>
              <w:spacing w:after="20"/>
              <w:ind w:left="20"/>
              <w:jc w:val="both"/>
            </w:pPr>
            <w:r>
              <w:rPr>
                <w:rFonts w:ascii="Times New Roman"/>
                <w:b w:val="false"/>
                <w:i w:val="false"/>
                <w:color w:val="000000"/>
                <w:sz w:val="20"/>
              </w:rPr>
              <w:t xml:space="preserve">
- not functioning (abandoned, empty, disconnected from infrastructure) </w:t>
            </w:r>
          </w:p>
          <w:p>
            <w:pPr>
              <w:spacing w:after="20"/>
              <w:ind w:left="20"/>
              <w:jc w:val="both"/>
            </w:pPr>
            <w:r>
              <w:rPr>
                <w:rFonts w:ascii="Times New Roman"/>
                <w:b w:val="false"/>
                <w:i w:val="false"/>
                <w:color w:val="000000"/>
                <w:sz w:val="20"/>
              </w:rPr>
              <w:t>
- recognized as emergency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Reason for leaving the house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Provide the ability to change the reason for leaving home. If data exists in the field, display the value when using the passport data change function.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Line, 500 characters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Availability of a barrier-free environment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Values: </w:t>
            </w:r>
          </w:p>
          <w:p>
            <w:pPr>
              <w:spacing w:after="20"/>
              <w:ind w:left="20"/>
              <w:jc w:val="both"/>
            </w:pPr>
            <w:r>
              <w:rPr>
                <w:rFonts w:ascii="Times New Roman"/>
                <w:b w:val="false"/>
                <w:i w:val="false"/>
                <w:color w:val="000000"/>
                <w:sz w:val="20"/>
              </w:rPr>
              <w:t xml:space="preserve">Yes </w:t>
            </w:r>
          </w:p>
          <w:p>
            <w:pPr>
              <w:spacing w:after="20"/>
              <w:ind w:left="20"/>
              <w:jc w:val="both"/>
            </w:pPr>
            <w:r>
              <w:rPr>
                <w:rFonts w:ascii="Times New Roman"/>
                <w:b w:val="false"/>
                <w:i w:val="false"/>
                <w:color w:val="000000"/>
                <w:sz w:val="20"/>
              </w:rPr>
              <w:t>
No</w:t>
            </w: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«Institute of legislation and legal information of the Republic of Kazakhstan» of the Ministry of Justice of the Republic of Kazakhstan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