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34f6" w14:textId="4553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formation, processing, as well as the centralized collection and storage of information in electronic form, including the functioning of objects of informatization in the field of housing relations and HCS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March 31, 2020 № 172. Registered with the Ministry of Justice of the Republic of Kazakhstan on April 1, 2020 № 20245.</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10-24) of Article 10-2 of the Law of the Republic of Kazakhstan “On Housing Relations”,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43 of the Minister of Industry and Construction of the Republic of Kazakhstan dated February 5, 2024 (shall come into effect ten calendar days after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Approve the attached regulations formation, processing, as well as centralized collection and storage of information in electronic form, including the functioning of objects of informatization in the field of housing relations and HCS.</w:t>
      </w:r>
    </w:p>
    <w:bookmarkEnd w:id="1"/>
    <w:bookmarkStart w:name="z3" w:id="2"/>
    <w:p>
      <w:pPr>
        <w:spacing w:after="0"/>
        <w:ind w:left="0"/>
        <w:jc w:val="both"/>
      </w:pPr>
      <w:r>
        <w:rPr>
          <w:rFonts w:ascii="Times New Roman"/>
          <w:b w:val="false"/>
          <w:i w:val="false"/>
          <w:color w:val="000000"/>
          <w:sz w:val="28"/>
        </w:rPr>
        <w:t>
      2. The Committee for Construction and HCS of the Ministry of Industry and Infrastructure Development of the Republic of Kazakhstan, in the manner prescribed by law,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First Vice Minister of Industry and Infrastructure Development of the Republic of Kazakhstan.</w:t>
      </w:r>
    </w:p>
    <w:bookmarkEnd w:id="5"/>
    <w:bookmarkStart w:name="z7" w:id="6"/>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infrastructure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Uskenbaev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Digital Development,</w:t>
      </w:r>
    </w:p>
    <w:p>
      <w:pPr>
        <w:spacing w:after="0"/>
        <w:ind w:left="0"/>
        <w:jc w:val="both"/>
      </w:pPr>
      <w:r>
        <w:rPr>
          <w:rFonts w:ascii="Times New Roman"/>
          <w:b w:val="false"/>
          <w:i w:val="false"/>
          <w:color w:val="000000"/>
          <w:sz w:val="28"/>
        </w:rPr>
        <w:t>
      innovative and aerospace</w:t>
      </w:r>
    </w:p>
    <w:p>
      <w:pPr>
        <w:spacing w:after="0"/>
        <w:ind w:left="0"/>
        <w:jc w:val="both"/>
      </w:pPr>
      <w:r>
        <w:rPr>
          <w:rFonts w:ascii="Times New Roman"/>
          <w:b w:val="false"/>
          <w:i w:val="false"/>
          <w:color w:val="000000"/>
          <w:sz w:val="28"/>
        </w:rPr>
        <w:t>
      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dated March 31, 2020 № 172</w:t>
            </w:r>
          </w:p>
        </w:tc>
      </w:tr>
    </w:tbl>
    <w:p>
      <w:pPr>
        <w:spacing w:after="0"/>
        <w:ind w:left="0"/>
        <w:jc w:val="left"/>
      </w:pPr>
      <w:r>
        <w:rPr>
          <w:rFonts w:ascii="Times New Roman"/>
          <w:b/>
          <w:i w:val="false"/>
          <w:color w:val="000000"/>
        </w:rPr>
        <w:t xml:space="preserve"> The Rules for the formation, processing, and centralized collection and storage of information in electronic form, including the operation of information technology facilities in the field of housing relations and housing and communal services</w:t>
      </w:r>
    </w:p>
    <w:p>
      <w:pPr>
        <w:spacing w:after="0"/>
        <w:ind w:left="0"/>
        <w:jc w:val="both"/>
      </w:pPr>
      <w:r>
        <w:rPr>
          <w:rFonts w:ascii="Times New Roman"/>
          <w:b w:val="false"/>
          <w:i w:val="false"/>
          <w:color w:val="ff0000"/>
          <w:sz w:val="28"/>
        </w:rPr>
        <w:t>
      Footnote. The Rules - as amended by Order № 43 of the Minister of Industry and Construction of the Republic of Kazakhstan dated February 5, 2024 (shall come into effect ten calendar days after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formation, processing, as well as centralized collection and storage of information in electronic form, including the operation of information technology facilities in the field of housing relations and housing and communal services (hereinafter referred to as the Rules) have been developed in accordance with subparagraph 10-24) of Article 10-2 of the Law of the Republic of Kazakhstan "On Housing Relations" (hereinafter referred to as the Law) and shall determine the procedure of:</w:t>
      </w:r>
    </w:p>
    <w:p>
      <w:pPr>
        <w:spacing w:after="0"/>
        <w:ind w:left="0"/>
        <w:jc w:val="both"/>
      </w:pPr>
      <w:r>
        <w:rPr>
          <w:rFonts w:ascii="Times New Roman"/>
          <w:b w:val="false"/>
          <w:i w:val="false"/>
          <w:color w:val="000000"/>
          <w:sz w:val="28"/>
        </w:rPr>
        <w:t>
      formation and processing of information in electronic form in information technology facilities in the field of housing relations and housing and communal services;</w:t>
      </w:r>
    </w:p>
    <w:p>
      <w:pPr>
        <w:spacing w:after="0"/>
        <w:ind w:left="0"/>
        <w:jc w:val="both"/>
      </w:pPr>
      <w:r>
        <w:rPr>
          <w:rFonts w:ascii="Times New Roman"/>
          <w:b w:val="false"/>
          <w:i w:val="false"/>
          <w:color w:val="000000"/>
          <w:sz w:val="28"/>
        </w:rPr>
        <w:t>
      centralized collection and storage of information in electronic form from information technology facilities in the field of housing relations and housing and communal services;</w:t>
      </w:r>
    </w:p>
    <w:p>
      <w:pPr>
        <w:spacing w:after="0"/>
        <w:ind w:left="0"/>
        <w:jc w:val="both"/>
      </w:pPr>
      <w:r>
        <w:rPr>
          <w:rFonts w:ascii="Times New Roman"/>
          <w:b w:val="false"/>
          <w:i w:val="false"/>
          <w:color w:val="000000"/>
          <w:sz w:val="28"/>
        </w:rPr>
        <w:t>
      functioning of information technology facilities in the field of housing relations and housing and communal services.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public utilities – services provided to the consumer, including water supply, sewerage, gas supply, electricity supply, heat supply, garbage disposal, elevator maintenance, to ensure safe and comfortable living conditions (stay);</w:t>
      </w:r>
    </w:p>
    <w:p>
      <w:pPr>
        <w:spacing w:after="0"/>
        <w:ind w:left="0"/>
        <w:jc w:val="both"/>
      </w:pPr>
      <w:r>
        <w:rPr>
          <w:rFonts w:ascii="Times New Roman"/>
          <w:b w:val="false"/>
          <w:i w:val="false"/>
          <w:color w:val="000000"/>
          <w:sz w:val="28"/>
        </w:rPr>
        <w:t>
      2) objects of information technology in the sphere of housing relations and housing and communal services (hereinafter referred to as Objects of information technology in housing and communal services) - electronic information resources and information systems in the sphere of housing relations and housing and communal services;</w:t>
      </w:r>
    </w:p>
    <w:p>
      <w:pPr>
        <w:spacing w:after="0"/>
        <w:ind w:left="0"/>
        <w:jc w:val="both"/>
      </w:pPr>
      <w:r>
        <w:rPr>
          <w:rFonts w:ascii="Times New Roman"/>
          <w:b w:val="false"/>
          <w:i w:val="false"/>
          <w:color w:val="000000"/>
          <w:sz w:val="28"/>
        </w:rPr>
        <w:t>
      3) the information system for the centralized collection and storage of electronic information resources in the sphere of housing relations and housing and communal services (hereinafter referred to as the IS for centralized collection) - a state information system that ensures the consolidation of electronic information resources from housing and communal services information technology facilities for the analysis of the housing stock and housing and communal services and the implementation of state regulation in the sphere of housing relations and housing and communal services;</w:t>
      </w:r>
    </w:p>
    <w:p>
      <w:pPr>
        <w:spacing w:after="0"/>
        <w:ind w:left="0"/>
        <w:jc w:val="both"/>
      </w:pPr>
      <w:r>
        <w:rPr>
          <w:rFonts w:ascii="Times New Roman"/>
          <w:b w:val="false"/>
          <w:i w:val="false"/>
          <w:color w:val="000000"/>
          <w:sz w:val="28"/>
        </w:rPr>
        <w:t>
      4) subjects of informatization in the sphere of housing relations and housing and communal services (hereinafter referred to as Subjects of informatization of housing and communal services) - an authorized body, local executive bodies, subjects of natural monopolies, associations of property owners, simple partnerships managing an apartment building, management companies, subjects of service activities, owners of apartments, non-residential premises and other subjects in the sphere of housing relations and housing and communal services;</w:t>
      </w:r>
    </w:p>
    <w:p>
      <w:pPr>
        <w:spacing w:after="0"/>
        <w:ind w:left="0"/>
        <w:jc w:val="both"/>
      </w:pPr>
      <w:r>
        <w:rPr>
          <w:rFonts w:ascii="Times New Roman"/>
          <w:b w:val="false"/>
          <w:i w:val="false"/>
          <w:color w:val="000000"/>
          <w:sz w:val="28"/>
        </w:rPr>
        <w:t>
      5) authorized body - the central executive body that carries out management and intersectoral coordination in the sphere of housing relations and housing and communal services.</w:t>
      </w:r>
    </w:p>
    <w:p>
      <w:pPr>
        <w:spacing w:after="0"/>
        <w:ind w:left="0"/>
        <w:jc w:val="left"/>
      </w:pPr>
      <w:r>
        <w:rPr>
          <w:rFonts w:ascii="Times New Roman"/>
          <w:b/>
          <w:i w:val="false"/>
          <w:color w:val="000000"/>
        </w:rPr>
        <w:t xml:space="preserve"> Chapter 2. The procedure for the formation and processing of information in electronic form in housing and communal services information systems</w:t>
      </w:r>
    </w:p>
    <w:p>
      <w:pPr>
        <w:spacing w:after="0"/>
        <w:ind w:left="0"/>
        <w:jc w:val="both"/>
      </w:pPr>
      <w:r>
        <w:rPr>
          <w:rFonts w:ascii="Times New Roman"/>
          <w:b w:val="false"/>
          <w:i w:val="false"/>
          <w:color w:val="000000"/>
          <w:sz w:val="28"/>
        </w:rPr>
        <w:t>
      3. For the purpose of generating and processing information in electronic form, housing and communal services IT facilities shall ensure automation of processes between housing and communal services IT subjects within the scope of their competence.</w:t>
      </w:r>
    </w:p>
    <w:p>
      <w:pPr>
        <w:spacing w:after="0"/>
        <w:ind w:left="0"/>
        <w:jc w:val="both"/>
      </w:pPr>
      <w:r>
        <w:rPr>
          <w:rFonts w:ascii="Times New Roman"/>
          <w:b w:val="false"/>
          <w:i w:val="false"/>
          <w:color w:val="000000"/>
          <w:sz w:val="28"/>
        </w:rPr>
        <w:t>
      4. The created and (or) developed housing and communal services information technology facilities ensure the maintenance of information, depending on the competence of the housing and communal services information technology entity and the functionality of the housing and communal services information technology facility:</w:t>
      </w:r>
    </w:p>
    <w:p>
      <w:pPr>
        <w:spacing w:after="0"/>
        <w:ind w:left="0"/>
        <w:jc w:val="both"/>
      </w:pPr>
      <w:r>
        <w:rPr>
          <w:rFonts w:ascii="Times New Roman"/>
          <w:b w:val="false"/>
          <w:i w:val="false"/>
          <w:color w:val="000000"/>
          <w:sz w:val="28"/>
        </w:rPr>
        <w:t>
      in the field of housing relations and housing management:</w:t>
      </w:r>
    </w:p>
    <w:p>
      <w:pPr>
        <w:spacing w:after="0"/>
        <w:ind w:left="0"/>
        <w:jc w:val="both"/>
      </w:pPr>
      <w:r>
        <w:rPr>
          <w:rFonts w:ascii="Times New Roman"/>
          <w:b w:val="false"/>
          <w:i w:val="false"/>
          <w:color w:val="000000"/>
          <w:sz w:val="28"/>
        </w:rPr>
        <w:t>
      1) on the registration of multi-apartment residential buildings;</w:t>
      </w:r>
    </w:p>
    <w:p>
      <w:pPr>
        <w:spacing w:after="0"/>
        <w:ind w:left="0"/>
        <w:jc w:val="both"/>
      </w:pPr>
      <w:r>
        <w:rPr>
          <w:rFonts w:ascii="Times New Roman"/>
          <w:b w:val="false"/>
          <w:i w:val="false"/>
          <w:color w:val="000000"/>
          <w:sz w:val="28"/>
        </w:rPr>
        <w:t>
      2) information about an apartment building, filled in by an association of property owners or a simple partnership, or by a manager of an apartment building, or by a management company, or by one representative of the owners of apartments, non-residential premises, in the case of direct joint management in accordance with Appendix 1, 2 of the Rules for the management of a condominium facility and the maintenance of common property of a condominium facility approved by order of the Minister of National Economy of the Republic of Kazakhstan dated February 19, 2015 № 108 (registered in the State Register of Normative Legal Acts under № 10528);</w:t>
      </w:r>
    </w:p>
    <w:p>
      <w:pPr>
        <w:spacing w:after="0"/>
        <w:ind w:left="0"/>
        <w:jc w:val="both"/>
      </w:pPr>
      <w:r>
        <w:rPr>
          <w:rFonts w:ascii="Times New Roman"/>
          <w:b w:val="false"/>
          <w:i w:val="false"/>
          <w:color w:val="000000"/>
          <w:sz w:val="28"/>
        </w:rPr>
        <w:t>
      3) on the accounting of contributions from owners of apartments and non-residential premises for major repairs of a condominium property;</w:t>
      </w:r>
    </w:p>
    <w:p>
      <w:pPr>
        <w:spacing w:after="0"/>
        <w:ind w:left="0"/>
        <w:jc w:val="both"/>
      </w:pPr>
      <w:r>
        <w:rPr>
          <w:rFonts w:ascii="Times New Roman"/>
          <w:b w:val="false"/>
          <w:i w:val="false"/>
          <w:color w:val="000000"/>
          <w:sz w:val="28"/>
        </w:rPr>
        <w:t>
      4) on planned activities for the maintenance and repair of common property in apartment buildings;</w:t>
      </w:r>
    </w:p>
    <w:p>
      <w:pPr>
        <w:spacing w:after="0"/>
        <w:ind w:left="0"/>
        <w:jc w:val="both"/>
      </w:pPr>
      <w:r>
        <w:rPr>
          <w:rFonts w:ascii="Times New Roman"/>
          <w:b w:val="false"/>
          <w:i w:val="false"/>
          <w:color w:val="000000"/>
          <w:sz w:val="28"/>
        </w:rPr>
        <w:t>
      5) reports on the results of the activities of an association of property owners or a simple partnership, or a manager of an apartment building, or a management company for the maintenance of an apartment building;</w:t>
      </w:r>
    </w:p>
    <w:p>
      <w:pPr>
        <w:spacing w:after="0"/>
        <w:ind w:left="0"/>
        <w:jc w:val="both"/>
      </w:pPr>
      <w:r>
        <w:rPr>
          <w:rFonts w:ascii="Times New Roman"/>
          <w:b w:val="false"/>
          <w:i w:val="false"/>
          <w:color w:val="000000"/>
          <w:sz w:val="28"/>
        </w:rPr>
        <w:t>
      6) on meetings of owners of apartments, non-residential premises of a multi-apartment residential building, as well as minutes of the results of the meeting and voting;</w:t>
      </w:r>
    </w:p>
    <w:p>
      <w:pPr>
        <w:spacing w:after="0"/>
        <w:ind w:left="0"/>
        <w:jc w:val="both"/>
      </w:pPr>
      <w:r>
        <w:rPr>
          <w:rFonts w:ascii="Times New Roman"/>
          <w:b w:val="false"/>
          <w:i w:val="false"/>
          <w:color w:val="000000"/>
          <w:sz w:val="28"/>
        </w:rPr>
        <w:t>
      7) on the submission, processing and execution of applications for the management and maintenance of multi-apartment residential buildings;</w:t>
      </w:r>
    </w:p>
    <w:p>
      <w:pPr>
        <w:spacing w:after="0"/>
        <w:ind w:left="0"/>
        <w:jc w:val="both"/>
      </w:pPr>
      <w:r>
        <w:rPr>
          <w:rFonts w:ascii="Times New Roman"/>
          <w:b w:val="false"/>
          <w:i w:val="false"/>
          <w:color w:val="000000"/>
          <w:sz w:val="28"/>
        </w:rPr>
        <w:t>
      8) under agreements concluded between entities involved in the information technology of housing and communal services;</w:t>
      </w:r>
    </w:p>
    <w:p>
      <w:pPr>
        <w:spacing w:after="0"/>
        <w:ind w:left="0"/>
        <w:jc w:val="both"/>
      </w:pPr>
      <w:r>
        <w:rPr>
          <w:rFonts w:ascii="Times New Roman"/>
          <w:b w:val="false"/>
          <w:i w:val="false"/>
          <w:color w:val="000000"/>
          <w:sz w:val="28"/>
        </w:rPr>
        <w:t>
      in the field of public utilities:</w:t>
      </w:r>
    </w:p>
    <w:p>
      <w:pPr>
        <w:spacing w:after="0"/>
        <w:ind w:left="0"/>
        <w:jc w:val="both"/>
      </w:pPr>
      <w:r>
        <w:rPr>
          <w:rFonts w:ascii="Times New Roman"/>
          <w:b w:val="false"/>
          <w:i w:val="false"/>
          <w:color w:val="000000"/>
          <w:sz w:val="28"/>
        </w:rPr>
        <w:t>
      9) passport of the utility provider;</w:t>
      </w:r>
    </w:p>
    <w:p>
      <w:pPr>
        <w:spacing w:after="0"/>
        <w:ind w:left="0"/>
        <w:jc w:val="both"/>
      </w:pPr>
      <w:r>
        <w:rPr>
          <w:rFonts w:ascii="Times New Roman"/>
          <w:b w:val="false"/>
          <w:i w:val="false"/>
          <w:color w:val="000000"/>
          <w:sz w:val="28"/>
        </w:rPr>
        <w:t>
      10) on the registration of utility service providers;</w:t>
      </w:r>
    </w:p>
    <w:p>
      <w:pPr>
        <w:spacing w:after="0"/>
        <w:ind w:left="0"/>
        <w:jc w:val="both"/>
      </w:pPr>
      <w:r>
        <w:rPr>
          <w:rFonts w:ascii="Times New Roman"/>
          <w:b w:val="false"/>
          <w:i w:val="false"/>
          <w:color w:val="000000"/>
          <w:sz w:val="28"/>
        </w:rPr>
        <w:t>
      11) on personal accounts of consumers of public utilities;</w:t>
      </w:r>
    </w:p>
    <w:p>
      <w:pPr>
        <w:spacing w:after="0"/>
        <w:ind w:left="0"/>
        <w:jc w:val="both"/>
      </w:pPr>
      <w:r>
        <w:rPr>
          <w:rFonts w:ascii="Times New Roman"/>
          <w:b w:val="false"/>
          <w:i w:val="false"/>
          <w:color w:val="000000"/>
          <w:sz w:val="28"/>
        </w:rPr>
        <w:t>
      12) on the recording of common house and individual meters for public utilities;</w:t>
      </w:r>
    </w:p>
    <w:p>
      <w:pPr>
        <w:spacing w:after="0"/>
        <w:ind w:left="0"/>
        <w:jc w:val="both"/>
      </w:pPr>
      <w:r>
        <w:rPr>
          <w:rFonts w:ascii="Times New Roman"/>
          <w:b w:val="false"/>
          <w:i w:val="false"/>
          <w:color w:val="000000"/>
          <w:sz w:val="28"/>
        </w:rPr>
        <w:t>
      13) on the readings of utility meters;</w:t>
      </w:r>
    </w:p>
    <w:p>
      <w:pPr>
        <w:spacing w:after="0"/>
        <w:ind w:left="0"/>
        <w:jc w:val="both"/>
      </w:pPr>
      <w:r>
        <w:rPr>
          <w:rFonts w:ascii="Times New Roman"/>
          <w:b w:val="false"/>
          <w:i w:val="false"/>
          <w:color w:val="000000"/>
          <w:sz w:val="28"/>
        </w:rPr>
        <w:t>
      14) on tariffing, accrual, and payment of utility costs;</w:t>
      </w:r>
    </w:p>
    <w:p>
      <w:pPr>
        <w:spacing w:after="0"/>
        <w:ind w:left="0"/>
        <w:jc w:val="both"/>
      </w:pPr>
      <w:r>
        <w:rPr>
          <w:rFonts w:ascii="Times New Roman"/>
          <w:b w:val="false"/>
          <w:i w:val="false"/>
          <w:color w:val="000000"/>
          <w:sz w:val="28"/>
        </w:rPr>
        <w:t>
      15) on public utility networks: heat supply, water supply, sewerage, sewage treatment facilities, electricity supply, gas supply.</w:t>
      </w:r>
    </w:p>
    <w:p>
      <w:pPr>
        <w:spacing w:after="0"/>
        <w:ind w:left="0"/>
        <w:jc w:val="both"/>
      </w:pPr>
      <w:r>
        <w:rPr>
          <w:rFonts w:ascii="Times New Roman"/>
          <w:b w:val="false"/>
          <w:i w:val="false"/>
          <w:color w:val="000000"/>
          <w:sz w:val="28"/>
        </w:rPr>
        <w:t>
      5. The formation, processing, including ensuring the updating, completeness and reliability of information in electronic form in the housing and communal services information systems facilities is carried out by the housing and communal services information systems entities, in accordance with the legislation in the field of housing relations and housing and communal services, through a personal account.</w:t>
      </w:r>
    </w:p>
    <w:p>
      <w:pPr>
        <w:spacing w:after="0"/>
        <w:ind w:left="0"/>
        <w:jc w:val="both"/>
      </w:pPr>
      <w:r>
        <w:rPr>
          <w:rFonts w:ascii="Times New Roman"/>
          <w:b w:val="false"/>
          <w:i w:val="false"/>
          <w:color w:val="000000"/>
          <w:sz w:val="28"/>
        </w:rPr>
        <w:t>
      A monthly report on the management of a condominium property and the maintenance of the common property of a condominium property shall be submitted by the chairman of the property owners' association or a trustee of a simple partnership or the manager of an apartment building or a management company or a temporary management company appointed by the housing inspectorate to the owners of apartments and non-residential premises before the tenth day of the month following the reporting period, through information technology facilities in the sphere of housing relations and housing and public utilities and shall be posted in publicly accessible places.</w:t>
      </w:r>
    </w:p>
    <w:p>
      <w:pPr>
        <w:spacing w:after="0"/>
        <w:ind w:left="0"/>
        <w:jc w:val="both"/>
      </w:pPr>
      <w:r>
        <w:rPr>
          <w:rFonts w:ascii="Times New Roman"/>
          <w:b w:val="false"/>
          <w:i w:val="false"/>
          <w:color w:val="000000"/>
          <w:sz w:val="28"/>
        </w:rPr>
        <w:t>
      Monthly reports shall be filled out in the information technology facilities in the field of housing relations and housing and communal services in machine-readable form in accordance with the Standard Form of the Agreement on the Provision of Services for the Management of a Condominium Property and the Maintenance of Common Property of a Condominium Property, as well as the forms of monthly and annual reports on the management of a condominium property and the maintenance of common property of a condominium property, approved by the order of the Acting Minister of Industry and Infrastructure Development of the Republic of Kazakhstan dated March 30, 2020 № 164 (registered in the State Register of Normative Legal Acts under № 20247), and shall be subsequently transferred to the centralized collection information system through integration to ensure storage and access by local executive bodies, as well as at the request of the chairman of the association of property owners or a trustee of a simple partnership or the manager of an apartment building or a management company or a temporary management company appointed by the housing inspectorate to the owners of apartments, non-residential premises.</w:t>
      </w:r>
    </w:p>
    <w:p>
      <w:pPr>
        <w:spacing w:after="0"/>
        <w:ind w:left="0"/>
        <w:jc w:val="both"/>
      </w:pPr>
      <w:r>
        <w:rPr>
          <w:rFonts w:ascii="Times New Roman"/>
          <w:b w:val="false"/>
          <w:i w:val="false"/>
          <w:color w:val="000000"/>
          <w:sz w:val="28"/>
        </w:rPr>
        <w:t>
      If the subject of housing and communal services information technology does not own and/or possess an information technology facility in the sphere of housing relations and housing and communal services, monthly reports shall be filled out in the centralized collection information system through a personal account upon registration.</w:t>
      </w:r>
    </w:p>
    <w:p>
      <w:pPr>
        <w:spacing w:after="0"/>
        <w:ind w:left="0"/>
        <w:jc w:val="both"/>
      </w:pPr>
      <w:r>
        <w:rPr>
          <w:rFonts w:ascii="Times New Roman"/>
          <w:b w:val="false"/>
          <w:i w:val="false"/>
          <w:color w:val="000000"/>
          <w:sz w:val="28"/>
        </w:rPr>
        <w:t>
      6. Access to the housing and communal services information system facility shall be provided by the housing and communal services information system facility owner and/or possessor thereof in accordance with an agreement on the right of access concluded between it and another housing and communal services information system facility.</w:t>
      </w:r>
    </w:p>
    <w:p>
      <w:pPr>
        <w:spacing w:after="0"/>
        <w:ind w:left="0"/>
        <w:jc w:val="both"/>
      </w:pPr>
      <w:r>
        <w:rPr>
          <w:rFonts w:ascii="Times New Roman"/>
          <w:b w:val="false"/>
          <w:i w:val="false"/>
          <w:color w:val="000000"/>
          <w:sz w:val="28"/>
        </w:rPr>
        <w:t>
      Owners of apartments and non-residential premises shall not bear the costs of access to information, in subparagraphs 2) and 5) of paragraph 4 of these Rules, in the housing and communal services information technology facilities in the sphere of housing relations and housing services.</w:t>
      </w:r>
    </w:p>
    <w:p>
      <w:pPr>
        <w:spacing w:after="0"/>
        <w:ind w:left="0"/>
        <w:jc w:val="both"/>
      </w:pPr>
      <w:r>
        <w:rPr>
          <w:rFonts w:ascii="Times New Roman"/>
          <w:b w:val="false"/>
          <w:i w:val="false"/>
          <w:color w:val="000000"/>
          <w:sz w:val="28"/>
        </w:rPr>
        <w:t>
      7. The formation, processing, including ensuring the updating, completeness and reliability of information by the subjects of housing and communal services information technology shall be carried out on an ongoing basis, in electronic form, including with the attachment of electronic documents or copies of documents in electronic form.</w:t>
      </w:r>
    </w:p>
    <w:p>
      <w:pPr>
        <w:spacing w:after="0"/>
        <w:ind w:left="0"/>
        <w:jc w:val="both"/>
      </w:pPr>
      <w:r>
        <w:rPr>
          <w:rFonts w:ascii="Times New Roman"/>
          <w:b w:val="false"/>
          <w:i w:val="false"/>
          <w:color w:val="000000"/>
          <w:sz w:val="28"/>
        </w:rPr>
        <w:t>
      Documents created on paper shall be placed in housing and communal services information systems as copies of documents in electronic form.</w:t>
      </w:r>
    </w:p>
    <w:p>
      <w:pPr>
        <w:spacing w:after="0"/>
        <w:ind w:left="0"/>
        <w:jc w:val="both"/>
      </w:pPr>
      <w:r>
        <w:rPr>
          <w:rFonts w:ascii="Times New Roman"/>
          <w:b w:val="false"/>
          <w:i w:val="false"/>
          <w:color w:val="000000"/>
          <w:sz w:val="28"/>
        </w:rPr>
        <w:t>
      8. Information under subparagraphs 5) and 6) of paragraph 4 of these Rules shall be posted in the housing and communal services information technology facilities after it has been signed with an electronic digital signature of the subject of the housing and communal services information technology facility.</w:t>
      </w:r>
    </w:p>
    <w:p>
      <w:pPr>
        <w:spacing w:after="0"/>
        <w:ind w:left="0"/>
        <w:jc w:val="both"/>
      </w:pPr>
      <w:r>
        <w:rPr>
          <w:rFonts w:ascii="Times New Roman"/>
          <w:b w:val="false"/>
          <w:i w:val="false"/>
          <w:color w:val="000000"/>
          <w:sz w:val="28"/>
        </w:rPr>
        <w:t>
      9. Processing of information containing personal data shall be carried out by the subject of information technology of the housing and communal services sector, taking into account the requirements of legislation in the areas of information technology and protection of personal data.</w:t>
      </w:r>
    </w:p>
    <w:p>
      <w:pPr>
        <w:spacing w:after="0"/>
        <w:ind w:left="0"/>
        <w:jc w:val="both"/>
      </w:pPr>
      <w:r>
        <w:rPr>
          <w:rFonts w:ascii="Times New Roman"/>
          <w:b w:val="false"/>
          <w:i w:val="false"/>
          <w:color w:val="000000"/>
          <w:sz w:val="28"/>
        </w:rPr>
        <w:t>
      10. The subject of housing and public utilities information technology, which is the owner and (or) possessor of the housing and public utilities information technology facility, shall ensure the transfer of information from the housing and public utilities information technology facility to the centralized collection information system in accordance with Chapter 3 of these rules.</w:t>
      </w:r>
    </w:p>
    <w:p>
      <w:pPr>
        <w:spacing w:after="0"/>
        <w:ind w:left="0"/>
        <w:jc w:val="left"/>
      </w:pPr>
      <w:r>
        <w:rPr>
          <w:rFonts w:ascii="Times New Roman"/>
          <w:b/>
          <w:i w:val="false"/>
          <w:color w:val="000000"/>
        </w:rPr>
        <w:t xml:space="preserve"> Chapter 3. Centralized collection and storage of information in electronic form in the centralized collection information system</w:t>
      </w:r>
    </w:p>
    <w:p>
      <w:pPr>
        <w:spacing w:after="0"/>
        <w:ind w:left="0"/>
        <w:jc w:val="both"/>
      </w:pPr>
      <w:r>
        <w:rPr>
          <w:rFonts w:ascii="Times New Roman"/>
          <w:b w:val="false"/>
          <w:i w:val="false"/>
          <w:color w:val="000000"/>
          <w:sz w:val="28"/>
        </w:rPr>
        <w:t>
      11. The authorized body shall determine the organization subordinate to it as the Administrator of the centralized collection information system.</w:t>
      </w:r>
    </w:p>
    <w:p>
      <w:pPr>
        <w:spacing w:after="0"/>
        <w:ind w:left="0"/>
        <w:jc w:val="both"/>
      </w:pPr>
      <w:r>
        <w:rPr>
          <w:rFonts w:ascii="Times New Roman"/>
          <w:b w:val="false"/>
          <w:i w:val="false"/>
          <w:color w:val="000000"/>
          <w:sz w:val="28"/>
        </w:rPr>
        <w:t>
      The administrator shall provide methodological support for the functioning and formation of electronic information resources in the field of housing relations and housing and communal services, as well as centralized collection, analysis and storage, ensuring the safety and confidentiality of electronic information resources obtained from housing and communal services information technology facilities.</w:t>
      </w:r>
    </w:p>
    <w:p>
      <w:pPr>
        <w:spacing w:after="0"/>
        <w:ind w:left="0"/>
        <w:jc w:val="both"/>
      </w:pPr>
      <w:r>
        <w:rPr>
          <w:rFonts w:ascii="Times New Roman"/>
          <w:b w:val="false"/>
          <w:i w:val="false"/>
          <w:color w:val="000000"/>
          <w:sz w:val="28"/>
        </w:rPr>
        <w:t>
      12. Information shall be posted in the centralized collection information system in the following ways:</w:t>
      </w:r>
    </w:p>
    <w:p>
      <w:pPr>
        <w:spacing w:after="0"/>
        <w:ind w:left="0"/>
        <w:jc w:val="both"/>
      </w:pPr>
      <w:r>
        <w:rPr>
          <w:rFonts w:ascii="Times New Roman"/>
          <w:b w:val="false"/>
          <w:i w:val="false"/>
          <w:color w:val="000000"/>
          <w:sz w:val="28"/>
        </w:rPr>
        <w:t>
      1) through personal account;</w:t>
      </w:r>
    </w:p>
    <w:p>
      <w:pPr>
        <w:spacing w:after="0"/>
        <w:ind w:left="0"/>
        <w:jc w:val="both"/>
      </w:pPr>
      <w:r>
        <w:rPr>
          <w:rFonts w:ascii="Times New Roman"/>
          <w:b w:val="false"/>
          <w:i w:val="false"/>
          <w:color w:val="000000"/>
          <w:sz w:val="28"/>
        </w:rPr>
        <w:t>
      2) through the interaction of other housing and communal services information systems with the centralized collection information system.</w:t>
      </w:r>
    </w:p>
    <w:p>
      <w:pPr>
        <w:spacing w:after="0"/>
        <w:ind w:left="0"/>
        <w:jc w:val="both"/>
      </w:pPr>
      <w:r>
        <w:rPr>
          <w:rFonts w:ascii="Times New Roman"/>
          <w:b w:val="false"/>
          <w:i w:val="false"/>
          <w:color w:val="000000"/>
          <w:sz w:val="28"/>
        </w:rPr>
        <w:t>
      13. Local executive bodies shall conduct an inventory of the housing stock and keep records of functioning multi-apartment residential buildings, filling out the final information in the centralized collection information system in accordance with the mandatory fields in accordance with the appendix to these Rules. The frequency of updating and confirming the final information in the centralized collection information system shall be at least once a year.</w:t>
      </w:r>
    </w:p>
    <w:p>
      <w:pPr>
        <w:spacing w:after="0"/>
        <w:ind w:left="0"/>
        <w:jc w:val="both"/>
      </w:pPr>
      <w:r>
        <w:rPr>
          <w:rFonts w:ascii="Times New Roman"/>
          <w:b w:val="false"/>
          <w:i w:val="false"/>
          <w:color w:val="000000"/>
          <w:sz w:val="28"/>
        </w:rPr>
        <w:t>
      14. When posting information through the interaction of other housing and communal services information systems with the centralized collection information system, the housing and communal services information system subject, who is the owner and (or) possessor of the housing and communal services information system object, shall submit to the centralized collection information system an application for registration and integration of the housing and communal services information system object (hereinafter referred to as the Application).</w:t>
      </w:r>
    </w:p>
    <w:p>
      <w:pPr>
        <w:spacing w:after="0"/>
        <w:ind w:left="0"/>
        <w:jc w:val="both"/>
      </w:pPr>
      <w:r>
        <w:rPr>
          <w:rFonts w:ascii="Times New Roman"/>
          <w:b w:val="false"/>
          <w:i w:val="false"/>
          <w:color w:val="000000"/>
          <w:sz w:val="28"/>
        </w:rPr>
        <w:t>
      15. Housing and public utilities IT entities shall indicate their functions (competencies) in the centralized collection information system in their application by selecting them from the directory contained in the centralized collection information system. If a housing and public utilities IT entity carries out several activities related to different functions listed in the specified directory, the housing and public utilities IT entity shall indicate several functions in the centralized collection information system.</w:t>
      </w:r>
    </w:p>
    <w:p>
      <w:pPr>
        <w:spacing w:after="0"/>
        <w:ind w:left="0"/>
        <w:jc w:val="both"/>
      </w:pPr>
      <w:r>
        <w:rPr>
          <w:rFonts w:ascii="Times New Roman"/>
          <w:b w:val="false"/>
          <w:i w:val="false"/>
          <w:color w:val="000000"/>
          <w:sz w:val="28"/>
        </w:rPr>
        <w:t>
      16. The administrator of the centralized collection information system shall review the application within 5 working days and notify the housing and public utilities information system entity, which is the owner and/or occupier of the housing and public utilities information system facility, of the approval or rejection of the application to the e-mail address specified in the application.</w:t>
      </w:r>
    </w:p>
    <w:p>
      <w:pPr>
        <w:spacing w:after="0"/>
        <w:ind w:left="0"/>
        <w:jc w:val="both"/>
      </w:pPr>
      <w:r>
        <w:rPr>
          <w:rFonts w:ascii="Times New Roman"/>
          <w:b w:val="false"/>
          <w:i w:val="false"/>
          <w:color w:val="000000"/>
          <w:sz w:val="28"/>
        </w:rPr>
        <w:t>
      The administrator of the centralized collection information system shall refuse an application if the information provided in the application is incomplete.</w:t>
      </w:r>
    </w:p>
    <w:p>
      <w:pPr>
        <w:spacing w:after="0"/>
        <w:ind w:left="0"/>
        <w:jc w:val="both"/>
      </w:pPr>
      <w:r>
        <w:rPr>
          <w:rFonts w:ascii="Times New Roman"/>
          <w:b w:val="false"/>
          <w:i w:val="false"/>
          <w:color w:val="000000"/>
          <w:sz w:val="28"/>
        </w:rPr>
        <w:t>
      17. If the Administrator of the centralized collection information system approves the application, the authorized body shall agree with the housing and utilities information system entity, which is the owner and (or) possessor of the housing and utilities information system facility, on the integration of the housing and utilities information system facility with the centralized collection information system and conduct testing of the housing and utilities information system facility.</w:t>
      </w:r>
    </w:p>
    <w:p>
      <w:pPr>
        <w:spacing w:after="0"/>
        <w:ind w:left="0"/>
        <w:jc w:val="both"/>
      </w:pPr>
      <w:r>
        <w:rPr>
          <w:rFonts w:ascii="Times New Roman"/>
          <w:b w:val="false"/>
          <w:i w:val="false"/>
          <w:color w:val="000000"/>
          <w:sz w:val="28"/>
        </w:rPr>
        <w:t>
      18. When integrating a housing and communal services information system or a centralized data collection information system with the information systems of the “electronic government” of a state body, the integration shall be carried out in accordance with the legislation on information technology of the Republic of Kazakhstan.</w:t>
      </w:r>
    </w:p>
    <w:p>
      <w:pPr>
        <w:spacing w:after="0"/>
        <w:ind w:left="0"/>
        <w:jc w:val="both"/>
      </w:pPr>
      <w:r>
        <w:rPr>
          <w:rFonts w:ascii="Times New Roman"/>
          <w:b w:val="false"/>
          <w:i w:val="false"/>
          <w:color w:val="000000"/>
          <w:sz w:val="28"/>
        </w:rPr>
        <w:t>
      19. Access to information and posting of information in the centralized collection information system shall be provided to central government agencies, local executive bodies, other government agencies and utility service providers through a personal account, in accordance with an agreement concluded with the authorized body.</w:t>
      </w:r>
    </w:p>
    <w:p>
      <w:pPr>
        <w:spacing w:after="0"/>
        <w:ind w:left="0"/>
        <w:jc w:val="both"/>
      </w:pPr>
      <w:r>
        <w:rPr>
          <w:rFonts w:ascii="Times New Roman"/>
          <w:b w:val="false"/>
          <w:i w:val="false"/>
          <w:color w:val="000000"/>
          <w:sz w:val="28"/>
        </w:rPr>
        <w:t>
      Subjects of information technology in the sphere of public utilities, in the absence of ownership and (or) possession of a housing and public utilities information technology facility, shall keep records of the information specified in subparagraphs 9), 10), 12), 14 ) and 15) of paragraph 4 of these Rules in the centralized collection information system through a personal account upon registration in accordance with the agreement.</w:t>
      </w:r>
    </w:p>
    <w:p>
      <w:pPr>
        <w:spacing w:after="0"/>
        <w:ind w:left="0"/>
        <w:jc w:val="both"/>
      </w:pPr>
      <w:r>
        <w:rPr>
          <w:rFonts w:ascii="Times New Roman"/>
          <w:b w:val="false"/>
          <w:i w:val="false"/>
          <w:color w:val="000000"/>
          <w:sz w:val="28"/>
        </w:rPr>
        <w:t>
      20. Access rights of housing and communal services IT subjects to the centralized data collection information system shall be terminated in the following cases:</w:t>
      </w:r>
    </w:p>
    <w:p>
      <w:pPr>
        <w:spacing w:after="0"/>
        <w:ind w:left="0"/>
        <w:jc w:val="both"/>
      </w:pPr>
      <w:r>
        <w:rPr>
          <w:rFonts w:ascii="Times New Roman"/>
          <w:b w:val="false"/>
          <w:i w:val="false"/>
          <w:color w:val="000000"/>
          <w:sz w:val="28"/>
        </w:rPr>
        <w:t>
      1) expiration of the period for which access rights were granted in accordance with the agreement concluded with the authorized body;</w:t>
      </w:r>
    </w:p>
    <w:p>
      <w:pPr>
        <w:spacing w:after="0"/>
        <w:ind w:left="0"/>
        <w:jc w:val="both"/>
      </w:pPr>
      <w:r>
        <w:rPr>
          <w:rFonts w:ascii="Times New Roman"/>
          <w:b w:val="false"/>
          <w:i w:val="false"/>
          <w:color w:val="000000"/>
          <w:sz w:val="28"/>
        </w:rPr>
        <w:t>
      2) placement in the information system of a centralized collection of information on the revocation of access rights;</w:t>
      </w:r>
    </w:p>
    <w:p>
      <w:pPr>
        <w:spacing w:after="0"/>
        <w:ind w:left="0"/>
        <w:jc w:val="both"/>
      </w:pPr>
      <w:r>
        <w:rPr>
          <w:rFonts w:ascii="Times New Roman"/>
          <w:b w:val="false"/>
          <w:i w:val="false"/>
          <w:color w:val="000000"/>
          <w:sz w:val="28"/>
        </w:rPr>
        <w:t>
      3) posting in the centralized information collection information system about the refusal of access rights by a person who was granted access rights to perform actions in the centralized information collection information system on behalf of the housing and communal services information system entity;</w:t>
      </w:r>
    </w:p>
    <w:p>
      <w:pPr>
        <w:spacing w:after="0"/>
        <w:ind w:left="0"/>
        <w:jc w:val="both"/>
      </w:pPr>
      <w:r>
        <w:rPr>
          <w:rFonts w:ascii="Times New Roman"/>
          <w:b w:val="false"/>
          <w:i w:val="false"/>
          <w:color w:val="000000"/>
          <w:sz w:val="28"/>
        </w:rPr>
        <w:t>
      4) termination of access rights of a user of the centralized collection information system who has granted authority to perform actions in the centralized collection information system on his behalf to another person;</w:t>
      </w:r>
    </w:p>
    <w:p>
      <w:pPr>
        <w:spacing w:after="0"/>
        <w:ind w:left="0"/>
        <w:jc w:val="both"/>
      </w:pPr>
      <w:r>
        <w:rPr>
          <w:rFonts w:ascii="Times New Roman"/>
          <w:b w:val="false"/>
          <w:i w:val="false"/>
          <w:color w:val="000000"/>
          <w:sz w:val="28"/>
        </w:rPr>
        <w:t>
      5) termination or identification of the absence of grounds based on which a person was granted access rights;</w:t>
      </w:r>
    </w:p>
    <w:p>
      <w:pPr>
        <w:spacing w:after="0"/>
        <w:ind w:left="0"/>
        <w:jc w:val="both"/>
      </w:pPr>
      <w:r>
        <w:rPr>
          <w:rFonts w:ascii="Times New Roman"/>
          <w:b w:val="false"/>
          <w:i w:val="false"/>
          <w:color w:val="000000"/>
          <w:sz w:val="28"/>
        </w:rPr>
        <w:t>
      6) identification of the fact that the subject of housing and communal services information technology submitted false information in the application to the centralized collection information system;</w:t>
      </w:r>
    </w:p>
    <w:p>
      <w:pPr>
        <w:spacing w:after="0"/>
        <w:ind w:left="0"/>
        <w:jc w:val="both"/>
      </w:pPr>
      <w:r>
        <w:rPr>
          <w:rFonts w:ascii="Times New Roman"/>
          <w:b w:val="false"/>
          <w:i w:val="false"/>
          <w:color w:val="000000"/>
          <w:sz w:val="28"/>
        </w:rPr>
        <w:t>
      7) in other cases provided for by the legislation of the Republic of Kazakhstan.</w:t>
      </w:r>
    </w:p>
    <w:p>
      <w:pPr>
        <w:spacing w:after="0"/>
        <w:ind w:left="0"/>
        <w:jc w:val="both"/>
      </w:pPr>
      <w:r>
        <w:rPr>
          <w:rFonts w:ascii="Times New Roman"/>
          <w:b w:val="false"/>
          <w:i w:val="false"/>
          <w:color w:val="000000"/>
          <w:sz w:val="28"/>
        </w:rPr>
        <w:t>
      21. Subjects of information technology in the housing and communal services sector shall have access to the open part of the centralized collection information system and to the information posted in it without undergoing registration procedures.</w:t>
      </w:r>
    </w:p>
    <w:p>
      <w:pPr>
        <w:spacing w:after="0"/>
        <w:ind w:left="0"/>
        <w:jc w:val="both"/>
      </w:pPr>
      <w:r>
        <w:rPr>
          <w:rFonts w:ascii="Times New Roman"/>
          <w:b w:val="false"/>
          <w:i w:val="false"/>
          <w:color w:val="000000"/>
          <w:sz w:val="28"/>
        </w:rPr>
        <w:t>
      22. Access to the closed part of the system and to the information contained therein shall be ensured by providing functional capabilities in personal accounts intended for work in the centralized collection information system, and (or) using other information technology objects after completing the registration procedure and concluding an agreement with the authorized body.</w:t>
      </w:r>
    </w:p>
    <w:p>
      <w:pPr>
        <w:spacing w:after="0"/>
        <w:ind w:left="0"/>
        <w:jc w:val="both"/>
      </w:pPr>
      <w:r>
        <w:rPr>
          <w:rFonts w:ascii="Times New Roman"/>
          <w:b w:val="false"/>
          <w:i w:val="false"/>
          <w:color w:val="000000"/>
          <w:sz w:val="28"/>
        </w:rPr>
        <w:t>
      23. Storage of information in housing and communal services information systems shall be ensured by housing and communal services information systems entities and in the centralized collection information system by the authorized body.</w:t>
      </w:r>
    </w:p>
    <w:p>
      <w:pPr>
        <w:spacing w:after="0"/>
        <w:ind w:left="0"/>
        <w:jc w:val="both"/>
      </w:pPr>
      <w:r>
        <w:rPr>
          <w:rFonts w:ascii="Times New Roman"/>
          <w:b w:val="false"/>
          <w:i w:val="false"/>
          <w:color w:val="000000"/>
          <w:sz w:val="28"/>
        </w:rPr>
        <w:t>
      24. The subjects of information technology in the housing and communal services sector shall transfer information to the centralized collection information system in compliance with the requirements of the legislation of the Republic of Kazakhstan in the areas of information technology, information security and personal data protection.</w:t>
      </w:r>
    </w:p>
    <w:p>
      <w:pPr>
        <w:spacing w:after="0"/>
        <w:ind w:left="0"/>
        <w:jc w:val="both"/>
      </w:pPr>
      <w:r>
        <w:rPr>
          <w:rFonts w:ascii="Times New Roman"/>
          <w:b w:val="false"/>
          <w:i w:val="false"/>
          <w:color w:val="000000"/>
          <w:sz w:val="28"/>
        </w:rPr>
        <w:t>
      25. The authorized body or the Administrator shall provide or distribute, including transfer, information about the subjects of information technology in the housing and communal services sector, in compliance with the requirements of the legislation of the Republic of Kazakhstan in the areas of information technology, ensuring information security and protecting personal data.</w:t>
      </w:r>
    </w:p>
    <w:p>
      <w:pPr>
        <w:spacing w:after="0"/>
        <w:ind w:left="0"/>
        <w:jc w:val="left"/>
      </w:pPr>
      <w:r>
        <w:rPr>
          <w:rFonts w:ascii="Times New Roman"/>
          <w:b/>
          <w:i w:val="false"/>
          <w:color w:val="000000"/>
        </w:rPr>
        <w:t xml:space="preserve"> Chapter 4. Functioning of information technology facilities in the housing and communal services sector</w:t>
      </w:r>
    </w:p>
    <w:p>
      <w:pPr>
        <w:spacing w:after="0"/>
        <w:ind w:left="0"/>
        <w:jc w:val="both"/>
      </w:pPr>
      <w:r>
        <w:rPr>
          <w:rFonts w:ascii="Times New Roman"/>
          <w:b w:val="false"/>
          <w:i w:val="false"/>
          <w:color w:val="000000"/>
          <w:sz w:val="28"/>
        </w:rPr>
        <w:t>
      26. To ensure the reliability and safety of the functioning of housing and communal services information technology facilities, technical means used for storing, processing and transmitting information shall be are carried out in accordance with the legislation of the Republic of Kazakhstan in the areas of information technology, ensuring information security and protecting personal data, as well as the standards in force in the territory of the Republic of Kazakhstan.</w:t>
      </w:r>
    </w:p>
    <w:p>
      <w:pPr>
        <w:spacing w:after="0"/>
        <w:ind w:left="0"/>
        <w:jc w:val="both"/>
      </w:pPr>
      <w:r>
        <w:rPr>
          <w:rFonts w:ascii="Times New Roman"/>
          <w:b w:val="false"/>
          <w:i w:val="false"/>
          <w:color w:val="000000"/>
          <w:sz w:val="28"/>
        </w:rPr>
        <w:t>
      27. Voting of the owner of an apartment or non-residential premises shall be carried out through information technology facilities in the sphere of housing relations and housing and communal services, a cellular subscriber device and using other methods not prohibited by the legislation of the Republic of Kazakhstan, with mandatory identification of the owner of the apartment or non-residential premises.</w:t>
      </w:r>
    </w:p>
    <w:p>
      <w:pPr>
        <w:spacing w:after="0"/>
        <w:ind w:left="0"/>
        <w:jc w:val="both"/>
      </w:pPr>
      <w:r>
        <w:rPr>
          <w:rFonts w:ascii="Times New Roman"/>
          <w:b w:val="false"/>
          <w:i w:val="false"/>
          <w:color w:val="000000"/>
          <w:sz w:val="28"/>
        </w:rPr>
        <w:t>
      The results of electronic voting shall be recorded through information technology facilities in the field of housing relations and housing and communal services.</w:t>
      </w:r>
    </w:p>
    <w:p>
      <w:pPr>
        <w:spacing w:after="0"/>
        <w:ind w:left="0"/>
        <w:jc w:val="both"/>
      </w:pPr>
      <w:r>
        <w:rPr>
          <w:rFonts w:ascii="Times New Roman"/>
          <w:b w:val="false"/>
          <w:i w:val="false"/>
          <w:color w:val="000000"/>
          <w:sz w:val="28"/>
        </w:rPr>
        <w:t>
      When summing up the voting results, the votes of the owners of apartments and non-residential premises shall be taken into account at a meeting held in person and through an information technology facility in the sphere of housing relations and housing and communal services, by means of a written survey and through an information technology facility in the sphere of housing relations and housing and communal services.</w:t>
      </w:r>
    </w:p>
    <w:p>
      <w:pPr>
        <w:spacing w:after="0"/>
        <w:ind w:left="0"/>
        <w:jc w:val="both"/>
      </w:pPr>
      <w:r>
        <w:rPr>
          <w:rFonts w:ascii="Times New Roman"/>
          <w:b w:val="false"/>
          <w:i w:val="false"/>
          <w:color w:val="000000"/>
          <w:sz w:val="28"/>
        </w:rPr>
        <w:t>
      When generating an electronic document, the storage of meeting minutes shall be carried out in accordance with the Law of the Republic of Kazakhstan “On Electronic Documents and Electronic Digital Signatures”.</w:t>
      </w:r>
    </w:p>
    <w:p>
      <w:pPr>
        <w:spacing w:after="0"/>
        <w:ind w:left="0"/>
        <w:jc w:val="both"/>
      </w:pPr>
      <w:r>
        <w:rPr>
          <w:rFonts w:ascii="Times New Roman"/>
          <w:b w:val="false"/>
          <w:i w:val="false"/>
          <w:color w:val="000000"/>
          <w:sz w:val="28"/>
        </w:rPr>
        <w:t>
      28. The information technology facility in the sphere of housing relations and the housing stock shall provide access to an information resource to ensure verification of an electronic digital signature in an electronic document, including one printed on paper.</w:t>
      </w:r>
    </w:p>
    <w:p>
      <w:pPr>
        <w:spacing w:after="0"/>
        <w:ind w:left="0"/>
        <w:jc w:val="both"/>
      </w:pPr>
      <w:r>
        <w:rPr>
          <w:rFonts w:ascii="Times New Roman"/>
          <w:b w:val="false"/>
          <w:i w:val="false"/>
          <w:color w:val="000000"/>
          <w:sz w:val="28"/>
        </w:rPr>
        <w:t>
      29. Housing and communal services information systems shall be provided with the function of receiving and transmitting applications from consumers of communal services to suppliers of communal services through integration with the centralized collection information system.</w:t>
      </w:r>
    </w:p>
    <w:p>
      <w:pPr>
        <w:spacing w:after="0"/>
        <w:ind w:left="0"/>
        <w:jc w:val="both"/>
      </w:pPr>
      <w:r>
        <w:rPr>
          <w:rFonts w:ascii="Times New Roman"/>
          <w:b w:val="false"/>
          <w:i w:val="false"/>
          <w:color w:val="000000"/>
          <w:sz w:val="28"/>
        </w:rPr>
        <w:t>
      30. The subject of housing and communal services information technology, who has posted information through a personal account in the housing and communal services information technology facility, shall receive an automatic notification of confirmation of the posting of information, with the date of receipt and transfer of the information recorded.</w:t>
      </w:r>
    </w:p>
    <w:p>
      <w:pPr>
        <w:spacing w:after="0"/>
        <w:ind w:left="0"/>
        <w:jc w:val="both"/>
      </w:pPr>
      <w:r>
        <w:rPr>
          <w:rFonts w:ascii="Times New Roman"/>
          <w:b w:val="false"/>
          <w:i w:val="false"/>
          <w:color w:val="000000"/>
          <w:sz w:val="28"/>
        </w:rPr>
        <w:t>
      31. The use of functionality in housing and communal services information technology facilities shall be carried out in accordance with the access rights granted to housing and communal services information technology entities.</w:t>
      </w:r>
    </w:p>
    <w:p>
      <w:pPr>
        <w:spacing w:after="0"/>
        <w:ind w:left="0"/>
        <w:jc w:val="both"/>
      </w:pPr>
      <w:r>
        <w:rPr>
          <w:rFonts w:ascii="Times New Roman"/>
          <w:b w:val="false"/>
          <w:i w:val="false"/>
          <w:color w:val="000000"/>
          <w:sz w:val="28"/>
        </w:rPr>
        <w:t>
      32. Centralized collection information systems provide information to housing and communal services IT facilities through integration, in accordance with an agreement concluded with the authorized body.</w:t>
      </w:r>
    </w:p>
    <w:p>
      <w:pPr>
        <w:spacing w:after="0"/>
        <w:ind w:left="0"/>
        <w:jc w:val="both"/>
      </w:pPr>
      <w:r>
        <w:rPr>
          <w:rFonts w:ascii="Times New Roman"/>
          <w:b w:val="false"/>
          <w:i w:val="false"/>
          <w:color w:val="000000"/>
          <w:sz w:val="28"/>
        </w:rPr>
        <w:t>
      33. Housing and communal services IT facilities shall be provided with continuous operation.</w:t>
      </w:r>
    </w:p>
    <w:p>
      <w:pPr>
        <w:spacing w:after="0"/>
        <w:ind w:left="0"/>
        <w:jc w:val="both"/>
      </w:pPr>
      <w:r>
        <w:rPr>
          <w:rFonts w:ascii="Times New Roman"/>
          <w:b w:val="false"/>
          <w:i w:val="false"/>
          <w:color w:val="000000"/>
          <w:sz w:val="28"/>
        </w:rPr>
        <w:t>
      34. The authorized body and the owner or holder of the information technology facility shall ensure the following:</w:t>
      </w:r>
    </w:p>
    <w:p>
      <w:pPr>
        <w:spacing w:after="0"/>
        <w:ind w:left="0"/>
        <w:jc w:val="both"/>
      </w:pPr>
      <w:r>
        <w:rPr>
          <w:rFonts w:ascii="Times New Roman"/>
          <w:b w:val="false"/>
          <w:i w:val="false"/>
          <w:color w:val="000000"/>
          <w:sz w:val="28"/>
        </w:rPr>
        <w:t>
      1) uninterrupted year-round and round-the-clock operation of housing and communal services information technology facilities;</w:t>
      </w:r>
    </w:p>
    <w:p>
      <w:pPr>
        <w:spacing w:after="0"/>
        <w:ind w:left="0"/>
        <w:jc w:val="both"/>
      </w:pPr>
      <w:r>
        <w:rPr>
          <w:rFonts w:ascii="Times New Roman"/>
          <w:b w:val="false"/>
          <w:i w:val="false"/>
          <w:color w:val="000000"/>
          <w:sz w:val="28"/>
        </w:rPr>
        <w:t>
      2) fast (no more than one hour) restoration of the operability of housing and communal services information systems facilities in the event of their failure;</w:t>
      </w:r>
    </w:p>
    <w:p>
      <w:pPr>
        <w:spacing w:after="0"/>
        <w:ind w:left="0"/>
        <w:jc w:val="both"/>
      </w:pPr>
      <w:r>
        <w:rPr>
          <w:rFonts w:ascii="Times New Roman"/>
          <w:b w:val="false"/>
          <w:i w:val="false"/>
          <w:color w:val="000000"/>
          <w:sz w:val="28"/>
        </w:rPr>
        <w:t>
      3) continuous monitoring of events and the current state of the centralized data collection information system and housing and communal services information systems, which allows for continuous monitoring of the availability of the centralized data collection information system software and hardware complex and the current state of equipment use, as well as immediate generation of notifications to owners and/or holders of housing and communal services information systems regarding failure of the centralized data collection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the formation, processing, and centralized collection and storage of information in electronic form, including the operation of information technology facilities in the sphere of housing relations and housing and communal services</w:t>
            </w:r>
          </w:p>
        </w:tc>
      </w:tr>
    </w:tbl>
    <w:bookmarkStart w:name="z102" w:id="7"/>
    <w:p>
      <w:pPr>
        <w:spacing w:after="0"/>
        <w:ind w:left="0"/>
        <w:jc w:val="left"/>
      </w:pPr>
      <w:r>
        <w:rPr>
          <w:rFonts w:ascii="Times New Roman"/>
          <w:b/>
          <w:i w:val="false"/>
          <w:color w:val="000000"/>
        </w:rPr>
        <w:t xml:space="preserve"> List of required fields of the Table for filling in the summary data in the information system for centralized collection and storage of electronic information resources in the field of housing relations and housing and communal services (IS for centralized collection) based on the results of the registration of functioning multi-apartment residential buildings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Selecting, entering and/or changing the cadastral number of a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200 characters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Classifier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Classifier code of administrative-territorial objects from the Address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500 characters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 address registration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16 characters, leading zeros possible.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purpose (letter according to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intended use (plan letter) of a house.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 from the directory "Targeted purposes": for the construction and use of a multi-apartment residential building (hereinafter referred to as MRB)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fund category.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"Fund categories": </w:t>
            </w:r>
          </w:p>
          <w:p>
            <w:pPr>
              <w:spacing w:after="20"/>
              <w:ind w:left="20"/>
              <w:jc w:val="both"/>
            </w:pPr>
            <w:r>
              <w:rPr>
                <w:rFonts w:ascii="Times New Roman"/>
                <w:b w:val="false"/>
                <w:i w:val="false"/>
                <w:color w:val="000000"/>
                <w:sz w:val="20"/>
              </w:rPr>
              <w:t xml:space="preserve">- Residential </w:t>
            </w:r>
          </w:p>
          <w:p>
            <w:pPr>
              <w:spacing w:after="20"/>
              <w:ind w:left="20"/>
              <w:jc w:val="both"/>
            </w:pPr>
            <w:r>
              <w:rPr>
                <w:rFonts w:ascii="Times New Roman"/>
                <w:b w:val="false"/>
                <w:i w:val="false"/>
                <w:color w:val="000000"/>
                <w:sz w:val="20"/>
              </w:rPr>
              <w:t>
- Non-residential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Condominium registration availability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state registration of the condominium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technical passport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availability of a technical passport for the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balance sheet ownership.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reference book "Balance Sheet Attribution": </w:t>
            </w:r>
          </w:p>
          <w:p>
            <w:pPr>
              <w:spacing w:after="20"/>
              <w:ind w:left="20"/>
              <w:jc w:val="both"/>
            </w:pPr>
            <w:r>
              <w:rPr>
                <w:rFonts w:ascii="Times New Roman"/>
                <w:b w:val="false"/>
                <w:i w:val="false"/>
                <w:color w:val="000000"/>
                <w:sz w:val="20"/>
              </w:rPr>
              <w:t xml:space="preserve">- Private (if there is common property in a condominium) - Private (all apartments and non-residential premises belong to a single owner) </w:t>
            </w:r>
          </w:p>
          <w:p>
            <w:pPr>
              <w:spacing w:after="20"/>
              <w:ind w:left="20"/>
              <w:jc w:val="both"/>
            </w:pPr>
            <w:r>
              <w:rPr>
                <w:rFonts w:ascii="Times New Roman"/>
                <w:b w:val="false"/>
                <w:i w:val="false"/>
                <w:color w:val="000000"/>
                <w:sz w:val="20"/>
              </w:rPr>
              <w:t xml:space="preserve">- State (state-owned enterprises); </w:t>
            </w:r>
          </w:p>
          <w:p>
            <w:pPr>
              <w:spacing w:after="20"/>
              <w:ind w:left="20"/>
              <w:jc w:val="both"/>
            </w:pPr>
            <w:r>
              <w:rPr>
                <w:rFonts w:ascii="Times New Roman"/>
                <w:b w:val="false"/>
                <w:i w:val="false"/>
                <w:color w:val="000000"/>
                <w:sz w:val="20"/>
              </w:rPr>
              <w:t>- State (state institutions)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elevators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availability of elevators in MRB.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 or zero if none exists.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electricity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the presence of electricity connection in MRB.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year the building was built, if it differs from the year it was commissioned.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 indicating the year of commissioning.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&lt; date.month.year &gt; of the last major maintenance.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Date&lt; date.month.year &gt;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rooms in the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premises in the building from the Address Register: </w:t>
            </w:r>
          </w:p>
          <w:p>
            <w:pPr>
              <w:spacing w:after="20"/>
              <w:ind w:left="20"/>
              <w:jc w:val="both"/>
            </w:pPr>
            <w:r>
              <w:rPr>
                <w:rFonts w:ascii="Times New Roman"/>
                <w:b w:val="false"/>
                <w:i w:val="false"/>
                <w:color w:val="000000"/>
                <w:sz w:val="20"/>
              </w:rPr>
              <w:t xml:space="preserve">Residential </w:t>
            </w:r>
          </w:p>
          <w:p>
            <w:pPr>
              <w:spacing w:after="20"/>
              <w:ind w:left="20"/>
              <w:jc w:val="both"/>
            </w:pPr>
            <w:r>
              <w:rPr>
                <w:rFonts w:ascii="Times New Roman"/>
                <w:b w:val="false"/>
                <w:i w:val="false"/>
                <w:color w:val="000000"/>
                <w:sz w:val="20"/>
              </w:rPr>
              <w:t xml:space="preserve">Non-residential </w:t>
            </w:r>
          </w:p>
          <w:p>
            <w:pPr>
              <w:spacing w:after="20"/>
              <w:ind w:left="20"/>
              <w:jc w:val="both"/>
            </w:pPr>
            <w:r>
              <w:rPr>
                <w:rFonts w:ascii="Times New Roman"/>
                <w:b w:val="false"/>
                <w:i w:val="false"/>
                <w:color w:val="000000"/>
                <w:sz w:val="20"/>
              </w:rPr>
              <w:t>Parking spaces.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floors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number of floors in the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apartments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premises with the type "Apartment" in the building from the Address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non-residential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premises with the type "Non-residential premises" in the building from the Address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heat supply type. Select a value from the reference 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"Heat supply type": </w:t>
            </w:r>
          </w:p>
          <w:p>
            <w:pPr>
              <w:spacing w:after="20"/>
              <w:ind w:left="20"/>
              <w:jc w:val="both"/>
            </w:pPr>
            <w:r>
              <w:rPr>
                <w:rFonts w:ascii="Times New Roman"/>
                <w:b w:val="false"/>
                <w:i w:val="false"/>
                <w:color w:val="000000"/>
                <w:sz w:val="20"/>
              </w:rPr>
              <w:t>- central - autonomous - individual units - none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heating type. If the heating type is central,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"Type of heat supply": </w:t>
            </w:r>
          </w:p>
          <w:p>
            <w:pPr>
              <w:spacing w:after="20"/>
              <w:ind w:left="20"/>
              <w:jc w:val="both"/>
            </w:pPr>
            <w:r>
              <w:rPr>
                <w:rFonts w:ascii="Times New Roman"/>
                <w:b w:val="false"/>
                <w:i w:val="false"/>
                <w:color w:val="000000"/>
                <w:sz w:val="20"/>
              </w:rPr>
              <w:t xml:space="preserve">- open </w:t>
            </w:r>
          </w:p>
          <w:p>
            <w:pPr>
              <w:spacing w:after="20"/>
              <w:ind w:left="20"/>
              <w:jc w:val="both"/>
            </w:pPr>
            <w:r>
              <w:rPr>
                <w:rFonts w:ascii="Times New Roman"/>
                <w:b w:val="false"/>
                <w:i w:val="false"/>
                <w:color w:val="000000"/>
                <w:sz w:val="20"/>
              </w:rPr>
              <w:t>
- closed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supply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gas supply type.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"Gas supply type": </w:t>
            </w:r>
          </w:p>
          <w:p>
            <w:pPr>
              <w:spacing w:after="20"/>
              <w:ind w:left="20"/>
              <w:jc w:val="both"/>
            </w:pPr>
            <w:r>
              <w:rPr>
                <w:rFonts w:ascii="Times New Roman"/>
                <w:b w:val="false"/>
                <w:i w:val="false"/>
                <w:color w:val="000000"/>
                <w:sz w:val="20"/>
              </w:rPr>
              <w:t xml:space="preserve">- network (natural) </w:t>
            </w:r>
          </w:p>
          <w:p>
            <w:pPr>
              <w:spacing w:after="20"/>
              <w:ind w:left="20"/>
              <w:jc w:val="both"/>
            </w:pPr>
            <w:r>
              <w:rPr>
                <w:rFonts w:ascii="Times New Roman"/>
                <w:b w:val="false"/>
                <w:i w:val="false"/>
                <w:color w:val="000000"/>
                <w:sz w:val="20"/>
              </w:rPr>
              <w:t xml:space="preserve">
- liquefied (gas tank) </w:t>
            </w:r>
          </w:p>
          <w:p>
            <w:pPr>
              <w:spacing w:after="20"/>
              <w:ind w:left="20"/>
              <w:jc w:val="both"/>
            </w:pPr>
            <w:r>
              <w:rPr>
                <w:rFonts w:ascii="Times New Roman"/>
                <w:b w:val="false"/>
                <w:i w:val="false"/>
                <w:color w:val="000000"/>
                <w:sz w:val="20"/>
              </w:rPr>
              <w:t xml:space="preserve">
- liquefied (cylinders) </w:t>
            </w:r>
          </w:p>
          <w:p>
            <w:pPr>
              <w:spacing w:after="20"/>
              <w:ind w:left="20"/>
              <w:jc w:val="both"/>
            </w:pPr>
            <w:r>
              <w:rPr>
                <w:rFonts w:ascii="Times New Roman"/>
                <w:b w:val="false"/>
                <w:i w:val="false"/>
                <w:color w:val="000000"/>
                <w:sz w:val="20"/>
              </w:rPr>
              <w:t>
- absent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gas pipeline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availability of a gas pipeline in MRB.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hot water supply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hot water supply type. Select a value from the reference 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"Type of hot water supply": </w:t>
            </w:r>
          </w:p>
          <w:p>
            <w:pPr>
              <w:spacing w:after="20"/>
              <w:ind w:left="20"/>
              <w:jc w:val="both"/>
            </w:pPr>
            <w:r>
              <w:rPr>
                <w:rFonts w:ascii="Times New Roman"/>
                <w:b w:val="false"/>
                <w:i w:val="false"/>
                <w:color w:val="000000"/>
                <w:sz w:val="20"/>
              </w:rPr>
              <w:t xml:space="preserve">- central </w:t>
            </w:r>
          </w:p>
          <w:p>
            <w:pPr>
              <w:spacing w:after="20"/>
              <w:ind w:left="20"/>
              <w:jc w:val="both"/>
            </w:pPr>
            <w:r>
              <w:rPr>
                <w:rFonts w:ascii="Times New Roman"/>
                <w:b w:val="false"/>
                <w:i w:val="false"/>
                <w:color w:val="000000"/>
                <w:sz w:val="20"/>
              </w:rPr>
              <w:t xml:space="preserve">
- autonomous </w:t>
            </w:r>
          </w:p>
          <w:p>
            <w:pPr>
              <w:spacing w:after="20"/>
              <w:ind w:left="20"/>
              <w:jc w:val="both"/>
            </w:pPr>
            <w:r>
              <w:rPr>
                <w:rFonts w:ascii="Times New Roman"/>
                <w:b w:val="false"/>
                <w:i w:val="false"/>
                <w:color w:val="000000"/>
                <w:sz w:val="20"/>
              </w:rPr>
              <w:t>
- individual installations - none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water supply type.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directory "Type of water supply": </w:t>
            </w:r>
          </w:p>
          <w:p>
            <w:pPr>
              <w:spacing w:after="20"/>
              <w:ind w:left="20"/>
              <w:jc w:val="both"/>
            </w:pPr>
            <w:r>
              <w:rPr>
                <w:rFonts w:ascii="Times New Roman"/>
                <w:b w:val="false"/>
                <w:i w:val="false"/>
                <w:color w:val="000000"/>
                <w:sz w:val="20"/>
              </w:rPr>
              <w:t xml:space="preserve">- centralized (network or pump ) </w:t>
            </w:r>
          </w:p>
          <w:p>
            <w:pPr>
              <w:spacing w:after="20"/>
              <w:ind w:left="20"/>
              <w:jc w:val="both"/>
            </w:pPr>
            <w:r>
              <w:rPr>
                <w:rFonts w:ascii="Times New Roman"/>
                <w:b w:val="false"/>
                <w:i w:val="false"/>
                <w:color w:val="000000"/>
                <w:sz w:val="20"/>
              </w:rPr>
              <w:t>- decentralized (wells, boreholes)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running water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availability of water supply in MRB.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drainage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drainage type.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Meaning from the directory "Type of water disposal": </w:t>
            </w:r>
          </w:p>
          <w:p>
            <w:pPr>
              <w:spacing w:after="20"/>
              <w:ind w:left="20"/>
              <w:jc w:val="both"/>
            </w:pPr>
            <w:r>
              <w:rPr>
                <w:rFonts w:ascii="Times New Roman"/>
                <w:b w:val="false"/>
                <w:i w:val="false"/>
                <w:color w:val="000000"/>
                <w:sz w:val="20"/>
              </w:rPr>
              <w:t xml:space="preserve">- centralized </w:t>
            </w:r>
          </w:p>
          <w:p>
            <w:pPr>
              <w:spacing w:after="20"/>
              <w:ind w:left="20"/>
              <w:jc w:val="both"/>
            </w:pPr>
            <w:r>
              <w:rPr>
                <w:rFonts w:ascii="Times New Roman"/>
                <w:b w:val="false"/>
                <w:i w:val="false"/>
                <w:color w:val="000000"/>
                <w:sz w:val="20"/>
              </w:rPr>
              <w:t xml:space="preserve">
- septic tank (cesspool) </w:t>
            </w:r>
          </w:p>
          <w:p>
            <w:pPr>
              <w:spacing w:after="20"/>
              <w:ind w:left="20"/>
              <w:jc w:val="both"/>
            </w:pPr>
            <w:r>
              <w:rPr>
                <w:rFonts w:ascii="Times New Roman"/>
                <w:b w:val="false"/>
                <w:i w:val="false"/>
                <w:color w:val="000000"/>
                <w:sz w:val="20"/>
              </w:rPr>
              <w:t>
- outdoor toilet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sewerage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presence of sewerage in MRB.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common house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number of common house meters in a building.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Non-negative integer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Situation at home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situation at home. Select a value from the directory.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 from the reference book "House Situation": </w:t>
            </w:r>
          </w:p>
          <w:p>
            <w:pPr>
              <w:spacing w:after="20"/>
              <w:ind w:left="20"/>
              <w:jc w:val="both"/>
            </w:pPr>
            <w:r>
              <w:rPr>
                <w:rFonts w:ascii="Times New Roman"/>
                <w:b w:val="false"/>
                <w:i w:val="false"/>
                <w:color w:val="000000"/>
                <w:sz w:val="20"/>
              </w:rPr>
              <w:t xml:space="preserve">- functioning </w:t>
            </w:r>
          </w:p>
          <w:p>
            <w:pPr>
              <w:spacing w:after="20"/>
              <w:ind w:left="20"/>
              <w:jc w:val="both"/>
            </w:pPr>
            <w:r>
              <w:rPr>
                <w:rFonts w:ascii="Times New Roman"/>
                <w:b w:val="false"/>
                <w:i w:val="false"/>
                <w:color w:val="000000"/>
                <w:sz w:val="20"/>
              </w:rPr>
              <w:t xml:space="preserve">
- functioning (requires major repairs) </w:t>
            </w:r>
          </w:p>
          <w:p>
            <w:pPr>
              <w:spacing w:after="20"/>
              <w:ind w:left="20"/>
              <w:jc w:val="both"/>
            </w:pPr>
            <w:r>
              <w:rPr>
                <w:rFonts w:ascii="Times New Roman"/>
                <w:b w:val="false"/>
                <w:i w:val="false"/>
                <w:color w:val="000000"/>
                <w:sz w:val="20"/>
              </w:rPr>
              <w:t xml:space="preserve">
- functioning (included in the renovation program) </w:t>
            </w:r>
          </w:p>
          <w:p>
            <w:pPr>
              <w:spacing w:after="20"/>
              <w:ind w:left="20"/>
              <w:jc w:val="both"/>
            </w:pPr>
            <w:r>
              <w:rPr>
                <w:rFonts w:ascii="Times New Roman"/>
                <w:b w:val="false"/>
                <w:i w:val="false"/>
                <w:color w:val="000000"/>
                <w:sz w:val="20"/>
              </w:rPr>
              <w:t xml:space="preserve">
- not functioning (abandoned, empty, disconnected from infrastructure) </w:t>
            </w:r>
          </w:p>
          <w:p>
            <w:pPr>
              <w:spacing w:after="20"/>
              <w:ind w:left="20"/>
              <w:jc w:val="both"/>
            </w:pPr>
            <w:r>
              <w:rPr>
                <w:rFonts w:ascii="Times New Roman"/>
                <w:b w:val="false"/>
                <w:i w:val="false"/>
                <w:color w:val="000000"/>
                <w:sz w:val="20"/>
              </w:rPr>
              <w:t>
- recognized as emergency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leaving the house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the ability to change the reason for leaving home. If data exists in the field, display the value when using the passport data change function.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500 characters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barrier-free environment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Values: </w:t>
            </w:r>
          </w:p>
          <w:p>
            <w:pPr>
              <w:spacing w:after="20"/>
              <w:ind w:left="20"/>
              <w:jc w:val="both"/>
            </w:pPr>
            <w:r>
              <w:rPr>
                <w:rFonts w:ascii="Times New Roman"/>
                <w:b w:val="false"/>
                <w:i w:val="false"/>
                <w:color w:val="000000"/>
                <w:sz w:val="20"/>
              </w:rPr>
              <w:t xml:space="preserve">Yes </w:t>
            </w:r>
          </w:p>
          <w:p>
            <w:pPr>
              <w:spacing w:after="20"/>
              <w:ind w:left="20"/>
              <w:jc w:val="both"/>
            </w:pPr>
            <w:r>
              <w:rPr>
                <w:rFonts w:ascii="Times New Roman"/>
                <w:b w:val="false"/>
                <w:i w:val="false"/>
                <w:color w:val="000000"/>
                <w:sz w:val="20"/>
              </w:rPr>
              <w:t>
No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