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4322" w14:textId="ebb4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"Issuance of a certificate for the re-equipment of a vehicle and (or) trailers to 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March 31, 2020 No. 281. Registered with the Ministry of Justice of the Republic of Kazakhstan on March 31, 2020 No. 20222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subparagraph 1) of article 10 of the Law of the Republic of Kazakhstan dated April 15, 2013 "On public services", </w:t>
      </w:r>
      <w:r>
        <w:rPr>
          <w:rFonts w:ascii="Times New Roman"/>
          <w:b/>
          <w:i w:val="false"/>
          <w:color w:val="000000"/>
          <w:sz w:val="28"/>
        </w:rPr>
        <w:t>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the provision of public services "Issuance of a certificate for the re-equipment of a vehicle and (or) trailers to it", in accordance with the annex of the said order.</w:t>
      </w:r>
    </w:p>
    <w:bookmarkEnd w:id="1"/>
    <w:bookmarkStart w:name="z3" w:id="2"/>
    <w:p>
      <w:pPr>
        <w:spacing w:after="0"/>
        <w:ind w:left="0"/>
        <w:jc w:val="both"/>
      </w:pPr>
      <w:r>
        <w:rPr>
          <w:rFonts w:ascii="Times New Roman"/>
          <w:b w:val="false"/>
          <w:i w:val="false"/>
          <w:color w:val="000000"/>
          <w:sz w:val="28"/>
        </w:rPr>
        <w:t>
      2. The Administrative Police Committee of the Ministry of Internal Affairs of the Republic of Kazakhstan (Baimukashev M.K.), in the manner prescribed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posting this order on the Internet resource of the Ministry of Internal Affairs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Internal Affairs of the Republic of Kazakhstan information on the implementation of the measures provided for in subparagraphs 1), 2), 3) and 4) of this paragraph.</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supervising Deputy Minister of Internal Affairs of the Republic of Kazakhstan.</w:t>
      </w:r>
    </w:p>
    <w:bookmarkEnd w:id="6"/>
    <w:bookmarkStart w:name="z8" w:id="7"/>
    <w:p>
      <w:pPr>
        <w:spacing w:after="0"/>
        <w:ind w:left="0"/>
        <w:jc w:val="both"/>
      </w:pPr>
      <w:r>
        <w:rPr>
          <w:rFonts w:ascii="Times New Roman"/>
          <w:b w:val="false"/>
          <w:i w:val="false"/>
          <w:color w:val="000000"/>
          <w:sz w:val="28"/>
        </w:rPr>
        <w:t>
      4. This order shall be enforced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72"/>
        <w:gridCol w:w="4228"/>
      </w:tblGrid>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the Internal affairs</w:t>
            </w:r>
            <w:r>
              <w:rPr>
                <w:rFonts w:ascii="Times New Roman"/>
                <w:b w:val="false"/>
                <w:i w:val="false"/>
                <w:color w:val="000000"/>
                <w:sz w:val="20"/>
              </w:rPr>
              <w:t>
</w:t>
            </w:r>
          </w:p>
        </w:tc>
      </w:tr>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Turgumbayev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order</w:t>
            </w:r>
            <w:r>
              <w:br/>
            </w:r>
            <w:r>
              <w:rPr>
                <w:rFonts w:ascii="Times New Roman"/>
                <w:b w:val="false"/>
                <w:i w:val="false"/>
                <w:color w:val="000000"/>
                <w:sz w:val="20"/>
              </w:rPr>
              <w:t>dated March 31, 2020 № 281</w:t>
            </w:r>
          </w:p>
        </w:tc>
      </w:tr>
    </w:tbl>
    <w:bookmarkStart w:name="z10" w:id="8"/>
    <w:p>
      <w:pPr>
        <w:spacing w:after="0"/>
        <w:ind w:left="0"/>
        <w:jc w:val="left"/>
      </w:pPr>
      <w:r>
        <w:rPr>
          <w:rFonts w:ascii="Times New Roman"/>
          <w:b/>
          <w:i w:val="false"/>
          <w:color w:val="000000"/>
        </w:rPr>
        <w:t xml:space="preserve"> Rules </w:t>
      </w:r>
      <w:r>
        <w:br/>
      </w:r>
      <w:r>
        <w:rPr>
          <w:rFonts w:ascii="Times New Roman"/>
          <w:b/>
          <w:i w:val="false"/>
          <w:color w:val="000000"/>
        </w:rPr>
        <w:t>for the provision of the public service "Issuance of a certificate for the re-equipment of a motor vehicle and (or) trailers to it</w:t>
      </w:r>
      <w:r>
        <w:br/>
      </w:r>
    </w:p>
    <w:bookmarkEnd w:id="8"/>
    <w:bookmarkStart w:name="z11" w:id="9"/>
    <w:p>
      <w:pPr>
        <w:spacing w:after="0"/>
        <w:ind w:left="0"/>
        <w:jc w:val="left"/>
      </w:pPr>
      <w:r>
        <w:rPr>
          <w:rFonts w:ascii="Times New Roman"/>
          <w:b/>
          <w:i w:val="false"/>
          <w:color w:val="000000"/>
        </w:rPr>
        <w:t xml:space="preserve"> Chapter 1. General provisions</w:t>
      </w:r>
    </w:p>
    <w:bookmarkEnd w:id="9"/>
    <w:bookmarkStart w:name="z12" w:id="10"/>
    <w:p>
      <w:pPr>
        <w:spacing w:after="0"/>
        <w:ind w:left="0"/>
        <w:jc w:val="both"/>
      </w:pPr>
      <w:r>
        <w:rPr>
          <w:rFonts w:ascii="Times New Roman"/>
          <w:b w:val="false"/>
          <w:i w:val="false"/>
          <w:color w:val="000000"/>
          <w:sz w:val="28"/>
        </w:rPr>
        <w:t>
      1. These Rules for the provision of public services "Issuance of a certificate for the re-equipment of a vehicle and (or) trailers to it (hereinafter referred to as the Rules) are developed in accordance with subparagraph 1) of article 10 of the Law of the Republic of Kazakhstan dated April 15, 2013" On public services "and determine the procedure for rendering the state service "Issuance of a certificate for the re-equipment of a motor vehicle and (or) trailers to it" (hereinafter - the state service).</w:t>
      </w:r>
    </w:p>
    <w:bookmarkEnd w:id="10"/>
    <w:bookmarkStart w:name="z13" w:id="11"/>
    <w:p>
      <w:pPr>
        <w:spacing w:after="0"/>
        <w:ind w:left="0"/>
        <w:jc w:val="both"/>
      </w:pPr>
      <w:r>
        <w:rPr>
          <w:rFonts w:ascii="Times New Roman"/>
          <w:b w:val="false"/>
          <w:i w:val="false"/>
          <w:color w:val="000000"/>
          <w:sz w:val="28"/>
        </w:rPr>
        <w:t>
      2. The state service is provided by the territorial divisions of the Ministry of Internal Affairs of the Republic of Kazakhstan (hereinafter referred to as the service provider) free of charge to individuals and legal entities.</w:t>
      </w:r>
    </w:p>
    <w:bookmarkEnd w:id="11"/>
    <w:bookmarkStart w:name="z14" w:id="12"/>
    <w:p>
      <w:pPr>
        <w:spacing w:after="0"/>
        <w:ind w:left="0"/>
        <w:jc w:val="both"/>
      </w:pPr>
      <w:r>
        <w:rPr>
          <w:rFonts w:ascii="Times New Roman"/>
          <w:b w:val="false"/>
          <w:i w:val="false"/>
          <w:color w:val="000000"/>
          <w:sz w:val="28"/>
        </w:rPr>
        <w:t>
      3. Acceptance of documents and the issuance of the results of the provision of public services are carried out by the service provider and through the portal of "electronic government" (hereinafter - PEG).</w:t>
      </w:r>
    </w:p>
    <w:bookmarkEnd w:id="12"/>
    <w:bookmarkStart w:name="z15" w:id="13"/>
    <w:p>
      <w:pPr>
        <w:spacing w:after="0"/>
        <w:ind w:left="0"/>
        <w:jc w:val="left"/>
      </w:pPr>
      <w:r>
        <w:rPr>
          <w:rFonts w:ascii="Times New Roman"/>
          <w:b/>
          <w:i w:val="false"/>
          <w:color w:val="000000"/>
        </w:rPr>
        <w:t xml:space="preserve"> Chapter 2. The procedure for the provision of public services</w:t>
      </w:r>
    </w:p>
    <w:bookmarkEnd w:id="13"/>
    <w:bookmarkStart w:name="z16" w:id="14"/>
    <w:p>
      <w:pPr>
        <w:spacing w:after="0"/>
        <w:ind w:left="0"/>
        <w:jc w:val="both"/>
      </w:pPr>
      <w:r>
        <w:rPr>
          <w:rFonts w:ascii="Times New Roman"/>
          <w:b w:val="false"/>
          <w:i w:val="false"/>
          <w:color w:val="000000"/>
          <w:sz w:val="28"/>
        </w:rPr>
        <w:t>
      4. To receive a public service, an individual and (or) legal entity (hereinafter referred to as the service recipient) provides the service provider either through PEG documents, in accordance with paragraph 8 of the State Service Standard "Issuance of a certificate for the conversion of a vehicle and (or) trailers to them" according to the appendix 1 to these Rules (hereinafter referred to as the Standard).</w:t>
      </w:r>
    </w:p>
    <w:bookmarkEnd w:id="14"/>
    <w:bookmarkStart w:name="z17" w:id="15"/>
    <w:p>
      <w:pPr>
        <w:spacing w:after="0"/>
        <w:ind w:left="0"/>
        <w:jc w:val="both"/>
      </w:pPr>
      <w:r>
        <w:rPr>
          <w:rFonts w:ascii="Times New Roman"/>
          <w:b w:val="false"/>
          <w:i w:val="false"/>
          <w:color w:val="000000"/>
          <w:sz w:val="28"/>
        </w:rPr>
        <w:t>
      5. When accepting documents, the service provider issues a receipt in the form, in accordance with Appendix 2 to these Rules, and through PEG - a notification.</w:t>
      </w:r>
    </w:p>
    <w:bookmarkEnd w:id="15"/>
    <w:bookmarkStart w:name="z18" w:id="16"/>
    <w:p>
      <w:pPr>
        <w:spacing w:after="0"/>
        <w:ind w:left="0"/>
        <w:jc w:val="both"/>
      </w:pPr>
      <w:r>
        <w:rPr>
          <w:rFonts w:ascii="Times New Roman"/>
          <w:b w:val="false"/>
          <w:i w:val="false"/>
          <w:color w:val="000000"/>
          <w:sz w:val="28"/>
        </w:rPr>
        <w:t>
      6. After submitting a package of documents for the provision of public services, an employee of the office of the service provider registers the application in the database of citizens' appeals or in the Portal, the head of the service provider determines the executor of the application.</w:t>
      </w:r>
    </w:p>
    <w:bookmarkEnd w:id="16"/>
    <w:bookmarkStart w:name="z19" w:id="17"/>
    <w:p>
      <w:pPr>
        <w:spacing w:after="0"/>
        <w:ind w:left="0"/>
        <w:jc w:val="both"/>
      </w:pPr>
      <w:r>
        <w:rPr>
          <w:rFonts w:ascii="Times New Roman"/>
          <w:b w:val="false"/>
          <w:i w:val="false"/>
          <w:color w:val="000000"/>
          <w:sz w:val="28"/>
        </w:rPr>
        <w:t>
      The Contractor shall review the documents for compliance with these Rules within 2 working days.</w:t>
      </w:r>
    </w:p>
    <w:bookmarkEnd w:id="17"/>
    <w:bookmarkStart w:name="z20" w:id="18"/>
    <w:p>
      <w:pPr>
        <w:spacing w:after="0"/>
        <w:ind w:left="0"/>
        <w:jc w:val="both"/>
      </w:pPr>
      <w:r>
        <w:rPr>
          <w:rFonts w:ascii="Times New Roman"/>
          <w:b w:val="false"/>
          <w:i w:val="false"/>
          <w:color w:val="000000"/>
          <w:sz w:val="28"/>
        </w:rPr>
        <w:t>
      If the service recipient submits an incomplete package of documents and (or) documents that have expired, the service provider's employee, within the period specified in part one of this clause, form a reasoned refusal to accept the application, in accordance with Appendix 3 to these Rules.</w:t>
      </w:r>
    </w:p>
    <w:bookmarkEnd w:id="18"/>
    <w:bookmarkStart w:name="z21" w:id="19"/>
    <w:p>
      <w:pPr>
        <w:spacing w:after="0"/>
        <w:ind w:left="0"/>
        <w:jc w:val="both"/>
      </w:pPr>
      <w:r>
        <w:rPr>
          <w:rFonts w:ascii="Times New Roman"/>
          <w:b w:val="false"/>
          <w:i w:val="false"/>
          <w:color w:val="000000"/>
          <w:sz w:val="28"/>
        </w:rPr>
        <w:t>
      In case of completeness of the package of documents, the contractor prepares a certificate for the re-equipment of the vehicle and (or) trailers for them, or a reasoned refusal on the grounds provided for in clause 9 of the Standard, signed by an authorized person and certified by the seal or electronic digital signature of an authorized person (when applying through the Portal) and issues the result state service to the service recipient or sends it to the "personal account" of the service recipient.</w:t>
      </w:r>
    </w:p>
    <w:bookmarkEnd w:id="19"/>
    <w:bookmarkStart w:name="z22" w:id="20"/>
    <w:p>
      <w:pPr>
        <w:spacing w:after="0"/>
        <w:ind w:left="0"/>
        <w:jc w:val="both"/>
      </w:pPr>
      <w:r>
        <w:rPr>
          <w:rFonts w:ascii="Times New Roman"/>
          <w:b w:val="false"/>
          <w:i w:val="false"/>
          <w:color w:val="000000"/>
          <w:sz w:val="28"/>
        </w:rPr>
        <w:t>
      7. In accordance with subparagraph 11) of paragraph 2 of Article 5 of the Law of the Republic of Kazakhstan "On Public Services", the service provider ensures that data is entered into the information system for monitoring the provision of public services on the stage of rendering public services in the manner prescribed by the authorized body in the field of informatization.</w:t>
      </w:r>
    </w:p>
    <w:bookmarkEnd w:id="20"/>
    <w:bookmarkStart w:name="z23" w:id="21"/>
    <w:p>
      <w:pPr>
        <w:spacing w:after="0"/>
        <w:ind w:left="0"/>
        <w:jc w:val="left"/>
      </w:pPr>
      <w:r>
        <w:rPr>
          <w:rFonts w:ascii="Times New Roman"/>
          <w:b/>
          <w:i w:val="false"/>
          <w:color w:val="000000"/>
        </w:rPr>
        <w:t xml:space="preserve"> Chapter 3. </w:t>
      </w:r>
      <w:r>
        <w:br/>
      </w:r>
      <w:r>
        <w:rPr>
          <w:rFonts w:ascii="Times New Roman"/>
          <w:b/>
          <w:i w:val="false"/>
          <w:color w:val="000000"/>
        </w:rPr>
        <w:t xml:space="preserve">The procedure for appealing decisions, actions (inaction) of central state bodies, </w:t>
      </w:r>
      <w:r>
        <w:br/>
      </w:r>
      <w:r>
        <w:rPr>
          <w:rFonts w:ascii="Times New Roman"/>
          <w:b/>
          <w:i w:val="false"/>
          <w:color w:val="000000"/>
        </w:rPr>
        <w:t>as well as service providers and (or) their officials on the provision of public services</w:t>
      </w:r>
    </w:p>
    <w:bookmarkEnd w:id="21"/>
    <w:bookmarkStart w:name="z24" w:id="22"/>
    <w:p>
      <w:pPr>
        <w:spacing w:after="0"/>
        <w:ind w:left="0"/>
        <w:jc w:val="both"/>
      </w:pPr>
      <w:r>
        <w:rPr>
          <w:rFonts w:ascii="Times New Roman"/>
          <w:b w:val="false"/>
          <w:i w:val="false"/>
          <w:color w:val="000000"/>
          <w:sz w:val="28"/>
        </w:rPr>
        <w:t>
      8. A complaint against the decision, actions (inaction) of the service provider on the provision of public services can be filed in the name of the head of the service provider, to the authorized bodies in the field of road safety and on the assessment and control over the quality of the provision of public services, in accordance with the legislation of the Republic of Kazakhstan ...</w:t>
      </w:r>
    </w:p>
    <w:bookmarkEnd w:id="22"/>
    <w:bookmarkStart w:name="z25" w:id="23"/>
    <w:p>
      <w:pPr>
        <w:spacing w:after="0"/>
        <w:ind w:left="0"/>
        <w:jc w:val="both"/>
      </w:pPr>
      <w:r>
        <w:rPr>
          <w:rFonts w:ascii="Times New Roman"/>
          <w:b w:val="false"/>
          <w:i w:val="false"/>
          <w:color w:val="000000"/>
          <w:sz w:val="28"/>
        </w:rPr>
        <w:t>
      A complaint from a service recipient received by a service provider directly providing a public service, in accordance with paragraph 2 of Article 25 of the Law of the Republic of Kazakhstan "On Public Services" is subject to consideration within five working days from the date of its registration.</w:t>
      </w:r>
    </w:p>
    <w:bookmarkEnd w:id="23"/>
    <w:bookmarkStart w:name="z26" w:id="24"/>
    <w:p>
      <w:pPr>
        <w:spacing w:after="0"/>
        <w:ind w:left="0"/>
        <w:jc w:val="both"/>
      </w:pPr>
      <w:r>
        <w:rPr>
          <w:rFonts w:ascii="Times New Roman"/>
          <w:b w:val="false"/>
          <w:i w:val="false"/>
          <w:color w:val="000000"/>
          <w:sz w:val="28"/>
        </w:rPr>
        <w:t>
      The service recipient's complaint received by the authorized body for the assessment and control over the quality of the provision of public services is subject to consideration within fifteen working days from the date of its registration.</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 as amended by order of the Minister of Internal Affairs of the Republic of Kazakhstan dated May 26, 2020 No. 427 (shall be enforced from June 1, 2020).</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9. In cases of disagreement with the results of the provision of public services, the service recipient has the right to apply to the court in the manner prescribed by the legislation of the Republic of Kazakhstan.</w:t>
      </w:r>
    </w:p>
    <w:bookmarkEnd w:id="25"/>
    <w:tbl>
      <w:tblPr>
        <w:tblW w:w="0" w:type="auto"/>
        <w:tblCellSpacing w:w="0" w:type="auto"/>
        <w:tblBorders>
          <w:top w:val="none"/>
          <w:left w:val="none"/>
          <w:bottom w:val="none"/>
          <w:right w:val="none"/>
          <w:insideH w:val="none"/>
          <w:insideV w:val="none"/>
        </w:tblBorders>
      </w:tblPr>
      <w:tblGrid>
        <w:gridCol w:w="7850"/>
        <w:gridCol w:w="4644"/>
      </w:tblGrid>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Terms of Servicevpublic service</w:t>
            </w:r>
            <w:r>
              <w:br/>
            </w:r>
            <w:r>
              <w:rPr>
                <w:rFonts w:ascii="Times New Roman"/>
                <w:b w:val="false"/>
                <w:i w:val="false"/>
                <w:color w:val="000000"/>
                <w:sz w:val="20"/>
              </w:rPr>
              <w:t>"Issuance of a certificate for Refurbishment</w:t>
            </w:r>
            <w:r>
              <w:br/>
            </w:r>
            <w:r>
              <w:rPr>
                <w:rFonts w:ascii="Times New Roman"/>
                <w:b w:val="false"/>
                <w:i w:val="false"/>
                <w:color w:val="000000"/>
                <w:sz w:val="20"/>
              </w:rPr>
              <w:t>vehicle and (or) trailers to it "</w:t>
            </w:r>
            <w:r>
              <w:br/>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519"/>
        <w:gridCol w:w="7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service standard "Issuance of a certificate for re-equipment of a vehicle and (or) trailers to them"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Name</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Police Bodies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and web portal of "electronic government" www.egov.kz (hereinafter - PEG).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public services</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Service Provider - 2 working days;</w:t>
            </w:r>
            <w:r>
              <w:br/>
            </w:r>
            <w:r>
              <w:rPr>
                <w:rFonts w:ascii="Times New Roman"/>
                <w:b w:val="false"/>
                <w:i w:val="false"/>
                <w:color w:val="000000"/>
                <w:sz w:val="20"/>
              </w:rPr>
              <w:t>
Through PEG - 2 business days.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 electronic (partially automated).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for the re-equipment of a vehicle and (or) trailers to them or a reasoned refusal.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public service, and methods of collecting it in the cases provided for by the legislation of the Republic of Kazakhstan</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18.00, with a lunch break from 13.00. until 14h30, on Saturday from 9h00 until 13h00, except weekends and holidays, in accordance with labor laws.</w:t>
            </w:r>
            <w:r>
              <w:br/>
            </w:r>
            <w:r>
              <w:rPr>
                <w:rFonts w:ascii="Times New Roman"/>
                <w:b w:val="false"/>
                <w:i w:val="false"/>
                <w:color w:val="000000"/>
                <w:sz w:val="20"/>
              </w:rPr>
              <w:t>
2) PEG - around the clock, except for technical breaks in connection with the repair work (when the service recipient applies after 5 pm working time, on weekends and holidays, applications are accepted and the results of the provision of public services are issued on the next working day).</w:t>
            </w:r>
            <w:r>
              <w:br/>
            </w:r>
            <w:r>
              <w:rPr>
                <w:rFonts w:ascii="Times New Roman"/>
                <w:b w:val="false"/>
                <w:i w:val="false"/>
                <w:color w:val="000000"/>
                <w:sz w:val="20"/>
              </w:rPr>
              <w:t>
The addresses of the places of rendering public services are posted:</w:t>
            </w:r>
            <w:r>
              <w:br/>
            </w:r>
            <w:r>
              <w:rPr>
                <w:rFonts w:ascii="Times New Roman"/>
                <w:b w:val="false"/>
                <w:i w:val="false"/>
                <w:color w:val="000000"/>
                <w:sz w:val="20"/>
              </w:rPr>
              <w:t>
1) on the Internet resource: www.mvd.kz;</w:t>
            </w:r>
            <w:r>
              <w:br/>
            </w:r>
            <w:r>
              <w:rPr>
                <w:rFonts w:ascii="Times New Roman"/>
                <w:b w:val="false"/>
                <w:i w:val="false"/>
                <w:color w:val="000000"/>
                <w:sz w:val="20"/>
              </w:rPr>
              <w:t>
2) on the Internet resource: www.gov.kz.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public services</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aggravator:</w:t>
            </w:r>
            <w:r>
              <w:br/>
            </w:r>
            <w:r>
              <w:rPr>
                <w:rFonts w:ascii="Times New Roman"/>
                <w:b w:val="false"/>
                <w:i w:val="false"/>
                <w:color w:val="000000"/>
                <w:sz w:val="20"/>
              </w:rPr>
              <w:t>
1) an identity document for personal identification;</w:t>
            </w:r>
            <w:r>
              <w:br/>
            </w:r>
            <w:r>
              <w:rPr>
                <w:rFonts w:ascii="Times New Roman"/>
                <w:b w:val="false"/>
                <w:i w:val="false"/>
                <w:color w:val="000000"/>
                <w:sz w:val="20"/>
              </w:rPr>
              <w:t>
2) a receipt for the acceptance of documents;</w:t>
            </w:r>
            <w:r>
              <w:br/>
            </w:r>
            <w:r>
              <w:rPr>
                <w:rFonts w:ascii="Times New Roman"/>
                <w:b w:val="false"/>
                <w:i w:val="false"/>
                <w:color w:val="000000"/>
                <w:sz w:val="20"/>
              </w:rPr>
              <w:t>
3) agreement with the authorized body for road safety in terms of making changes to the design of the car;</w:t>
            </w:r>
            <w:r>
              <w:br/>
            </w:r>
            <w:r>
              <w:rPr>
                <w:rFonts w:ascii="Times New Roman"/>
                <w:b w:val="false"/>
                <w:i w:val="false"/>
                <w:color w:val="000000"/>
                <w:sz w:val="20"/>
              </w:rPr>
              <w:t>
4) documents from an accredited laboratory with appropriate tests;</w:t>
            </w:r>
            <w:r>
              <w:br/>
            </w:r>
            <w:r>
              <w:rPr>
                <w:rFonts w:ascii="Times New Roman"/>
                <w:b w:val="false"/>
                <w:i w:val="false"/>
                <w:color w:val="000000"/>
                <w:sz w:val="20"/>
              </w:rPr>
              <w:t>
5) a diagnostic card from the technical inspection center to check the technical condition of the vehicle with the changes made to the design;</w:t>
            </w:r>
            <w:r>
              <w:br/>
            </w:r>
            <w:r>
              <w:rPr>
                <w:rFonts w:ascii="Times New Roman"/>
                <w:b w:val="false"/>
                <w:i w:val="false"/>
                <w:color w:val="000000"/>
                <w:sz w:val="20"/>
              </w:rPr>
              <w:t>
PEG:</w:t>
            </w:r>
            <w:r>
              <w:br/>
            </w:r>
            <w:r>
              <w:rPr>
                <w:rFonts w:ascii="Times New Roman"/>
                <w:b w:val="false"/>
                <w:i w:val="false"/>
                <w:color w:val="000000"/>
                <w:sz w:val="20"/>
              </w:rPr>
              <w:t>
1) an electronic copy of the agreement with the authorized body for road safety in terms of making changes to the design of the car, except for the case of obtaining approval from the authorized body for ensuring road safety in terms of making changes to the design of the car through the "electronic government" portal;</w:t>
            </w:r>
            <w:r>
              <w:br/>
            </w:r>
            <w:r>
              <w:rPr>
                <w:rFonts w:ascii="Times New Roman"/>
                <w:b w:val="false"/>
                <w:i w:val="false"/>
                <w:color w:val="000000"/>
                <w:sz w:val="20"/>
              </w:rPr>
              <w:t>
2) an electronic copy of documents from an accredited laboratory with relevant tests, with the exception of information about documents received from an accredited laboratory with appropriate tests from relevant information systems;</w:t>
            </w:r>
            <w:r>
              <w:br/>
            </w:r>
            <w:r>
              <w:rPr>
                <w:rFonts w:ascii="Times New Roman"/>
                <w:b w:val="false"/>
                <w:i w:val="false"/>
                <w:color w:val="000000"/>
                <w:sz w:val="20"/>
              </w:rPr>
              <w:t>
3) an electronic copy of the diagnostic card from the technical inspection center to check the technical condition of the vehicle with the changes made to the design, with the exception of information about the passage of the mandatory technical inspection obtained from the relevant information systems.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refusing to accept an application, for refusing to provide public services, established by the legislation of the Republic of Kazakhstan</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refuses to provide public services when:</w:t>
            </w:r>
            <w:r>
              <w:br/>
            </w:r>
            <w:r>
              <w:rPr>
                <w:rFonts w:ascii="Times New Roman"/>
                <w:b w:val="false"/>
                <w:i w:val="false"/>
                <w:color w:val="000000"/>
                <w:sz w:val="20"/>
              </w:rPr>
              <w:t>
1) establishing the inaccuracy of the documents submitted by the service recipient for receiving public services, and (or) the data (information) contained therein;</w:t>
            </w:r>
            <w:r>
              <w:br/>
            </w:r>
            <w:r>
              <w:rPr>
                <w:rFonts w:ascii="Times New Roman"/>
                <w:b w:val="false"/>
                <w:i w:val="false"/>
                <w:color w:val="000000"/>
                <w:sz w:val="20"/>
              </w:rPr>
              <w:t>
2) the presence of prohibitions and restrictions on the disposal of property;</w:t>
            </w:r>
            <w:r>
              <w:br/>
            </w:r>
            <w:r>
              <w:rPr>
                <w:rFonts w:ascii="Times New Roman"/>
                <w:b w:val="false"/>
                <w:i w:val="false"/>
                <w:color w:val="000000"/>
                <w:sz w:val="20"/>
              </w:rPr>
              <w:t>
3) the presence of a service recipient (his representative) and (or) a vehicle on the wanted list;</w:t>
            </w:r>
            <w:r>
              <w:br/>
            </w:r>
            <w:r>
              <w:rPr>
                <w:rFonts w:ascii="Times New Roman"/>
                <w:b w:val="false"/>
                <w:i w:val="false"/>
                <w:color w:val="000000"/>
                <w:sz w:val="20"/>
              </w:rPr>
              <w:t>
4) the person has in a timely manner unfulfilled decisions on the imposition of an administrative penalty in the form of a fine and (or) an order on the need to pay a fine in the field of road safety, prior to their execution;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recipient has the opportunity to receive information about the procedure and status of the provision of public services in remote access mode through the "personal account" of the portal, as well as a single contact center for the provision of public services.</w:t>
            </w:r>
            <w:r>
              <w:br/>
            </w:r>
            <w:r>
              <w:rPr>
                <w:rFonts w:ascii="Times New Roman"/>
                <w:b w:val="false"/>
                <w:i w:val="false"/>
                <w:color w:val="000000"/>
                <w:sz w:val="20"/>
              </w:rPr>
              <w:t>
Territorial divisions of the administrative police, single contact center 1414, 8 800 080 7777.</w:t>
            </w:r>
            <w:r>
              <w:br/>
            </w:r>
            <w:r>
              <w:rPr>
                <w:rFonts w:ascii="Times New Roman"/>
                <w:b w:val="false"/>
                <w:i w:val="false"/>
                <w:color w:val="000000"/>
                <w:sz w:val="20"/>
              </w:rPr>
              <w:t>
The addresses of the places of rendering public services are posted:</w:t>
            </w:r>
            <w:r>
              <w:br/>
            </w:r>
            <w:r>
              <w:rPr>
                <w:rFonts w:ascii="Times New Roman"/>
                <w:b w:val="false"/>
                <w:i w:val="false"/>
                <w:color w:val="000000"/>
                <w:sz w:val="20"/>
              </w:rPr>
              <w:t>
 1) on the Internet resource: www.mvd.kz;</w:t>
            </w:r>
            <w:r>
              <w:br/>
            </w:r>
            <w:r>
              <w:rPr>
                <w:rFonts w:ascii="Times New Roman"/>
                <w:b w:val="false"/>
                <w:i w:val="false"/>
                <w:color w:val="000000"/>
                <w:sz w:val="20"/>
              </w:rPr>
              <w:t>
 2) on the Internet resource: www.gov4.kz.</w:t>
            </w:r>
          </w:p>
        </w:tc>
      </w:tr>
    </w:tbl>
    <w:tbl>
      <w:tblPr>
        <w:tblW w:w="0" w:type="auto"/>
        <w:tblCellSpacing w:w="0" w:type="auto"/>
        <w:tblBorders>
          <w:top w:val="none"/>
          <w:left w:val="none"/>
          <w:bottom w:val="none"/>
          <w:right w:val="none"/>
          <w:insideH w:val="none"/>
          <w:insideV w:val="none"/>
        </w:tblBorders>
      </w:tblPr>
      <w:tblGrid>
        <w:gridCol w:w="7850"/>
        <w:gridCol w:w="4644"/>
      </w:tblGrid>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Terms of Servicevpublic service</w:t>
            </w:r>
            <w:r>
              <w:br/>
            </w:r>
            <w:r>
              <w:rPr>
                <w:rFonts w:ascii="Times New Roman"/>
                <w:b w:val="false"/>
                <w:i w:val="false"/>
                <w:color w:val="000000"/>
                <w:sz w:val="20"/>
              </w:rPr>
              <w:t>"Issuance of a certificate for Refurbishment</w:t>
            </w:r>
            <w:r>
              <w:br/>
            </w:r>
            <w:r>
              <w:rPr>
                <w:rFonts w:ascii="Times New Roman"/>
                <w:b w:val="false"/>
                <w:i w:val="false"/>
                <w:color w:val="000000"/>
                <w:sz w:val="20"/>
              </w:rPr>
              <w:t>vehicle and (or) trailers to it "</w:t>
            </w:r>
            <w:r>
              <w:br/>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Acknowledgement № __</w:t>
      </w:r>
      <w:r>
        <w:br/>
      </w:r>
      <w:r>
        <w:rPr>
          <w:rFonts w:ascii="Times New Roman"/>
          <w:b/>
          <w:i w:val="false"/>
          <w:color w:val="000000"/>
        </w:rPr>
        <w:t xml:space="preserve"> on the acceptance of the documents </w:t>
      </w:r>
    </w:p>
    <w:p>
      <w:pPr>
        <w:spacing w:after="0"/>
        <w:ind w:left="0"/>
        <w:jc w:val="both"/>
      </w:pPr>
      <w:r>
        <w:rPr>
          <w:rFonts w:ascii="Times New Roman"/>
          <w:b w:val="false"/>
          <w:i w:val="false"/>
          <w:color w:val="000000"/>
          <w:sz w:val="28"/>
        </w:rPr>
        <w:t>
      ______________________________________________________________________________________________</w:t>
      </w:r>
    </w:p>
    <w:p>
      <w:pPr>
        <w:spacing w:after="0"/>
        <w:ind w:left="0"/>
        <w:jc w:val="both"/>
      </w:pPr>
      <w:r>
        <w:rPr>
          <w:rFonts w:ascii="Times New Roman"/>
          <w:b w:val="false"/>
          <w:i w:val="false"/>
          <w:color w:val="000000"/>
          <w:sz w:val="28"/>
        </w:rPr>
        <w:t>
      (indicate the name of the public service in accordance with the public service standard)</w:t>
      </w:r>
    </w:p>
    <w:p>
      <w:pPr>
        <w:spacing w:after="0"/>
        <w:ind w:left="0"/>
        <w:jc w:val="both"/>
      </w:pPr>
      <w:r>
        <w:rPr>
          <w:rFonts w:ascii="Times New Roman"/>
          <w:b w:val="false"/>
          <w:i w:val="false"/>
          <w:color w:val="000000"/>
          <w:sz w:val="28"/>
        </w:rPr>
        <w:t>
      ______________________________________________________________________________________________</w:t>
      </w:r>
    </w:p>
    <w:p>
      <w:pPr>
        <w:spacing w:after="0"/>
        <w:ind w:left="0"/>
        <w:jc w:val="both"/>
      </w:pPr>
      <w:r>
        <w:rPr>
          <w:rFonts w:ascii="Times New Roman"/>
          <w:b w:val="false"/>
          <w:i w:val="false"/>
          <w:color w:val="000000"/>
          <w:sz w:val="28"/>
        </w:rPr>
        <w:t>
      (Full name (if any) of the service recipient or the name of the legal entity, or their representatives)</w:t>
      </w:r>
    </w:p>
    <w:p>
      <w:pPr>
        <w:spacing w:after="0"/>
        <w:ind w:left="0"/>
        <w:jc w:val="both"/>
      </w:pPr>
      <w:r>
        <w:rPr>
          <w:rFonts w:ascii="Times New Roman"/>
          <w:b w:val="false"/>
          <w:i w:val="false"/>
          <w:color w:val="000000"/>
          <w:sz w:val="28"/>
        </w:rPr>
        <w:t>
      the list of the accepted documents:</w:t>
      </w:r>
    </w:p>
    <w:p>
      <w:pPr>
        <w:spacing w:after="0"/>
        <w:ind w:left="0"/>
        <w:jc w:val="both"/>
      </w:pPr>
      <w:r>
        <w:rPr>
          <w:rFonts w:ascii="Times New Roman"/>
          <w:b w:val="false"/>
          <w:i w:val="false"/>
          <w:color w:val="000000"/>
          <w:sz w:val="28"/>
        </w:rPr>
        <w:t>
      1._______________________________________________________________________________________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9._______________________________________________________________________________________</w:t>
      </w:r>
    </w:p>
    <w:p>
      <w:pPr>
        <w:spacing w:after="0"/>
        <w:ind w:left="0"/>
        <w:jc w:val="both"/>
      </w:pPr>
      <w:r>
        <w:rPr>
          <w:rFonts w:ascii="Times New Roman"/>
          <w:b w:val="false"/>
          <w:i w:val="false"/>
          <w:color w:val="000000"/>
          <w:sz w:val="28"/>
        </w:rPr>
        <w:t>
      Accepted:</w:t>
      </w:r>
    </w:p>
    <w:p>
      <w:pPr>
        <w:spacing w:after="0"/>
        <w:ind w:left="0"/>
        <w:jc w:val="both"/>
      </w:pPr>
      <w:r>
        <w:rPr>
          <w:rFonts w:ascii="Times New Roman"/>
          <w:b w:val="false"/>
          <w:i w:val="false"/>
          <w:color w:val="000000"/>
          <w:sz w:val="28"/>
        </w:rPr>
        <w:t>
      ________________________________________ /__________________/ ____________________________</w:t>
      </w:r>
    </w:p>
    <w:p>
      <w:pPr>
        <w:spacing w:after="0"/>
        <w:ind w:left="0"/>
        <w:jc w:val="both"/>
      </w:pPr>
      <w:r>
        <w:rPr>
          <w:rFonts w:ascii="Times New Roman"/>
          <w:b w:val="false"/>
          <w:i w:val="false"/>
          <w:color w:val="000000"/>
          <w:sz w:val="28"/>
        </w:rPr>
        <w:t>
       Executive ОIA (signature) (Full name (if available))</w:t>
      </w:r>
    </w:p>
    <w:p>
      <w:pPr>
        <w:spacing w:after="0"/>
        <w:ind w:left="0"/>
        <w:jc w:val="both"/>
      </w:pPr>
      <w:r>
        <w:rPr>
          <w:rFonts w:ascii="Times New Roman"/>
          <w:b w:val="false"/>
          <w:i w:val="false"/>
          <w:color w:val="000000"/>
          <w:sz w:val="28"/>
        </w:rPr>
        <w:t>
            "__" ________ ____ г.</w:t>
      </w:r>
    </w:p>
    <w:p>
      <w:pPr>
        <w:spacing w:after="0"/>
        <w:ind w:left="0"/>
        <w:jc w:val="both"/>
      </w:pPr>
      <w:r>
        <w:rPr>
          <w:rFonts w:ascii="Times New Roman"/>
          <w:b w:val="false"/>
          <w:i w:val="false"/>
          <w:color w:val="000000"/>
          <w:sz w:val="28"/>
        </w:rPr>
        <w:t xml:space="preserve">
      Time and date of issue: ___ hour ___ mins "__" _______ ____ г. </w:t>
      </w:r>
    </w:p>
    <w:tbl>
      <w:tblPr>
        <w:tblW w:w="0" w:type="auto"/>
        <w:tblCellSpacing w:w="0" w:type="auto"/>
        <w:tblBorders>
          <w:top w:val="none"/>
          <w:left w:val="none"/>
          <w:bottom w:val="none"/>
          <w:right w:val="none"/>
          <w:insideH w:val="none"/>
          <w:insideV w:val="none"/>
        </w:tblBorders>
      </w:tblPr>
      <w:tblGrid>
        <w:gridCol w:w="7850"/>
        <w:gridCol w:w="4644"/>
      </w:tblGrid>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Terms of Servicevpublic service</w:t>
            </w:r>
            <w:r>
              <w:br/>
            </w:r>
            <w:r>
              <w:rPr>
                <w:rFonts w:ascii="Times New Roman"/>
                <w:b w:val="false"/>
                <w:i w:val="false"/>
                <w:color w:val="000000"/>
                <w:sz w:val="20"/>
              </w:rPr>
              <w:t>"Issuance of a certificate for Refurbishment</w:t>
            </w:r>
            <w:r>
              <w:br/>
            </w:r>
            <w:r>
              <w:rPr>
                <w:rFonts w:ascii="Times New Roman"/>
                <w:b w:val="false"/>
                <w:i w:val="false"/>
                <w:color w:val="000000"/>
                <w:sz w:val="20"/>
              </w:rPr>
              <w:t>vehicle and (or) trailers to it "</w:t>
            </w:r>
            <w:r>
              <w:br/>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(Service Provider address ) </w:t>
      </w:r>
    </w:p>
    <w:p>
      <w:pPr>
        <w:spacing w:after="0"/>
        <w:ind w:left="0"/>
        <w:jc w:val="left"/>
      </w:pPr>
      <w:r>
        <w:rPr>
          <w:rFonts w:ascii="Times New Roman"/>
          <w:b/>
          <w:i w:val="false"/>
          <w:color w:val="000000"/>
        </w:rPr>
        <w:t xml:space="preserve"> Acknowledgement </w:t>
      </w:r>
      <w:r>
        <w:br/>
      </w:r>
      <w:r>
        <w:rPr>
          <w:rFonts w:ascii="Times New Roman"/>
          <w:b/>
          <w:i w:val="false"/>
          <w:color w:val="000000"/>
        </w:rPr>
        <w:t>on refusal to accept documents</w:t>
      </w:r>
    </w:p>
    <w:p>
      <w:pPr>
        <w:spacing w:after="0"/>
        <w:ind w:left="0"/>
        <w:jc w:val="both"/>
      </w:pPr>
      <w:r>
        <w:rPr>
          <w:rFonts w:ascii="Times New Roman"/>
          <w:b w:val="false"/>
          <w:i w:val="false"/>
          <w:color w:val="000000"/>
          <w:sz w:val="28"/>
        </w:rPr>
        <w:t>
      Guided by subparagraph 2) of article 20 of the Law of the Republic of Kazakhstan dated April 15, 2013 "On public services",</w:t>
      </w:r>
    </w:p>
    <w:p>
      <w:pPr>
        <w:spacing w:after="0"/>
        <w:ind w:left="0"/>
        <w:jc w:val="both"/>
      </w:pPr>
      <w:r>
        <w:rPr>
          <w:rFonts w:ascii="Times New Roman"/>
          <w:b w:val="false"/>
          <w:i w:val="false"/>
          <w:color w:val="000000"/>
          <w:sz w:val="28"/>
        </w:rPr>
        <w:t>
      ATS official ______________________________________________________________________________________________</w:t>
      </w:r>
    </w:p>
    <w:p>
      <w:pPr>
        <w:spacing w:after="0"/>
        <w:ind w:left="0"/>
        <w:jc w:val="both"/>
      </w:pPr>
      <w:r>
        <w:rPr>
          <w:rFonts w:ascii="Times New Roman"/>
          <w:b w:val="false"/>
          <w:i w:val="false"/>
          <w:color w:val="000000"/>
          <w:sz w:val="28"/>
        </w:rPr>
        <w:t>
                                (indicate address)</w:t>
      </w:r>
    </w:p>
    <w:p>
      <w:pPr>
        <w:spacing w:after="0"/>
        <w:ind w:left="0"/>
        <w:jc w:val="both"/>
      </w:pPr>
      <w:r>
        <w:rPr>
          <w:rFonts w:ascii="Times New Roman"/>
          <w:b w:val="false"/>
          <w:i w:val="false"/>
          <w:color w:val="000000"/>
          <w:sz w:val="28"/>
        </w:rPr>
        <w:t>
      refuses to accept documents for the provision of state service_________________________________________________</w:t>
      </w:r>
    </w:p>
    <w:p>
      <w:pPr>
        <w:spacing w:after="0"/>
        <w:ind w:left="0"/>
        <w:jc w:val="both"/>
      </w:pPr>
      <w:r>
        <w:rPr>
          <w:rFonts w:ascii="Times New Roman"/>
          <w:b w:val="false"/>
          <w:i w:val="false"/>
          <w:color w:val="000000"/>
          <w:sz w:val="28"/>
        </w:rPr>
        <w:t>
       (indicate the name of the public service in accordance with the standard of the state</w:t>
      </w:r>
    </w:p>
    <w:p>
      <w:pPr>
        <w:spacing w:after="0"/>
        <w:ind w:left="0"/>
        <w:jc w:val="both"/>
      </w:pPr>
      <w:r>
        <w:rPr>
          <w:rFonts w:ascii="Times New Roman"/>
          <w:b w:val="false"/>
          <w:i w:val="false"/>
          <w:color w:val="000000"/>
          <w:sz w:val="28"/>
        </w:rPr>
        <w:t>
      services) in view of your submission of an incomplete list of documents provided for by the Rules for the provision of public services,</w:t>
      </w:r>
    </w:p>
    <w:p>
      <w:pPr>
        <w:spacing w:after="0"/>
        <w:ind w:left="0"/>
        <w:jc w:val="both"/>
      </w:pPr>
      <w:r>
        <w:rPr>
          <w:rFonts w:ascii="Times New Roman"/>
          <w:b w:val="false"/>
          <w:i w:val="false"/>
          <w:color w:val="000000"/>
          <w:sz w:val="28"/>
        </w:rPr>
        <w:t>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xml:space="preserve">
      This acknowledgement has been made in 2 copies, one for each party.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(Full name (if available) official, signature)</w:t>
      </w:r>
    </w:p>
    <w:p>
      <w:pPr>
        <w:spacing w:after="0"/>
        <w:ind w:left="0"/>
        <w:jc w:val="both"/>
      </w:pPr>
      <w:r>
        <w:rPr>
          <w:rFonts w:ascii="Times New Roman"/>
          <w:b w:val="false"/>
          <w:i w:val="false"/>
          <w:color w:val="000000"/>
          <w:sz w:val="28"/>
        </w:rPr>
        <w:t>
      Accepted:</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(Full name (if available) official, signature) </w:t>
      </w:r>
    </w:p>
    <w:p>
      <w:pPr>
        <w:spacing w:after="0"/>
        <w:ind w:left="0"/>
        <w:jc w:val="both"/>
      </w:pPr>
      <w:r>
        <w:rPr>
          <w:rFonts w:ascii="Times New Roman"/>
          <w:b w:val="false"/>
          <w:i w:val="false"/>
          <w:color w:val="000000"/>
          <w:sz w:val="28"/>
        </w:rPr>
        <w:t>
      "___" 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