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a288" w14:textId="7bca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natural norms for the provision of organisational equipment and office supplies to the National Guard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55 of the Minister of Internal Affairs of the Republic of Kazakhstan dated January 27, 2020. Registered with the Ministry of Justice of the Republic of Kazakhstan on January 31, 2020 under No. 19965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conformity with paragraph 2 of Article 69 of the Budget Code of the Republic of Kazakhstan dated December 4, 2008 </w:t>
      </w:r>
      <w:r>
        <w:rPr>
          <w:rFonts w:ascii="Times New Roman"/>
          <w:b/>
          <w:i w:val="false"/>
          <w:color w:val="000000"/>
          <w:sz w:val="28"/>
        </w:rPr>
        <w:t>I HEREBY ORDER:</w:t>
      </w:r>
    </w:p>
    <w:bookmarkStart w:name="z1" w:id="0"/>
    <w:p>
      <w:pPr>
        <w:spacing w:after="0"/>
        <w:ind w:left="0"/>
        <w:jc w:val="both"/>
      </w:pPr>
      <w:r>
        <w:rPr>
          <w:rFonts w:ascii="Times New Roman"/>
          <w:b w:val="false"/>
          <w:i w:val="false"/>
          <w:color w:val="000000"/>
          <w:sz w:val="28"/>
        </w:rPr>
        <w:t>
      1. That the enclosed natural norms for the provision of organisational equipment and office supplies to the National Guard of the Republic of Kazakhstan shall be approved.</w:t>
      </w:r>
    </w:p>
    <w:bookmarkEnd w:id="0"/>
    <w:bookmarkStart w:name="z2" w:id="1"/>
    <w:p>
      <w:pPr>
        <w:spacing w:after="0"/>
        <w:ind w:left="0"/>
        <w:jc w:val="both"/>
      </w:pPr>
      <w:r>
        <w:rPr>
          <w:rFonts w:ascii="Times New Roman"/>
          <w:b w:val="false"/>
          <w:i w:val="false"/>
          <w:color w:val="000000"/>
          <w:sz w:val="28"/>
        </w:rPr>
        <w:t xml:space="preserve">
      2. That, in compliance with the procedure established by the legislation of the Republic of Kazakhstan, the Chief Command of the National Guard of the Republic of Kazakhstan (Zhaksylykov R.F.) shall: </w:t>
      </w:r>
    </w:p>
    <w:bookmarkEnd w:id="1"/>
    <w:bookmarkStart w:name="z3" w:id="2"/>
    <w:p>
      <w:pPr>
        <w:spacing w:after="0"/>
        <w:ind w:left="0"/>
        <w:jc w:val="both"/>
      </w:pPr>
      <w:r>
        <w:rPr>
          <w:rFonts w:ascii="Times New Roman"/>
          <w:b w:val="false"/>
          <w:i w:val="false"/>
          <w:color w:val="000000"/>
          <w:sz w:val="28"/>
        </w:rPr>
        <w:t>
      1) ensure state registration hereof with the Ministry of Justice of the Republic of Kazakhstan;</w:t>
      </w:r>
    </w:p>
    <w:bookmarkEnd w:id="2"/>
    <w:bookmarkStart w:name="z4" w:id="3"/>
    <w:p>
      <w:pPr>
        <w:spacing w:after="0"/>
        <w:ind w:left="0"/>
        <w:jc w:val="both"/>
      </w:pPr>
      <w:r>
        <w:rPr>
          <w:rFonts w:ascii="Times New Roman"/>
          <w:b w:val="false"/>
          <w:i w:val="false"/>
          <w:color w:val="000000"/>
          <w:sz w:val="28"/>
        </w:rPr>
        <w:t xml:space="preserve">
      2) provide posting hereof on the official website of the Ministry of Internal Affairs of the Republic of Kazakhstan </w:t>
      </w:r>
    </w:p>
    <w:bookmarkEnd w:id="3"/>
    <w:bookmarkStart w:name="z5" w:id="4"/>
    <w:p>
      <w:pPr>
        <w:spacing w:after="0"/>
        <w:ind w:left="0"/>
        <w:jc w:val="both"/>
      </w:pPr>
      <w:r>
        <w:rPr>
          <w:rFonts w:ascii="Times New Roman"/>
          <w:b w:val="false"/>
          <w:i w:val="false"/>
          <w:color w:val="000000"/>
          <w:sz w:val="28"/>
        </w:rPr>
        <w:t xml:space="preserve">
      3) within ten working days after state registration hereof with the Ministry of Justice of the Republic of Kazakhstan, submit to the Legal Department of the Ministry of Internal Affairs of the Republic of Kazakhstan the information on execution of the activities specified in subparagraphs 1) and 2) of this paragraph. </w:t>
      </w:r>
    </w:p>
    <w:bookmarkEnd w:id="4"/>
    <w:bookmarkStart w:name="z6" w:id="5"/>
    <w:p>
      <w:pPr>
        <w:spacing w:after="0"/>
        <w:ind w:left="0"/>
        <w:jc w:val="both"/>
      </w:pPr>
      <w:r>
        <w:rPr>
          <w:rFonts w:ascii="Times New Roman"/>
          <w:b w:val="false"/>
          <w:i w:val="false"/>
          <w:color w:val="000000"/>
          <w:sz w:val="28"/>
        </w:rPr>
        <w:t>
      3. That Lieutenant General R.F. Zhaksylykov, the Chief Command, shall be in charge of the execution of this order.</w:t>
      </w:r>
    </w:p>
    <w:bookmarkEnd w:id="5"/>
    <w:bookmarkStart w:name="z7" w:id="6"/>
    <w:p>
      <w:pPr>
        <w:spacing w:after="0"/>
        <w:ind w:left="0"/>
        <w:jc w:val="both"/>
      </w:pPr>
      <w:r>
        <w:rPr>
          <w:rFonts w:ascii="Times New Roman"/>
          <w:b w:val="false"/>
          <w:i w:val="false"/>
          <w:color w:val="000000"/>
          <w:sz w:val="28"/>
        </w:rPr>
        <w:t>
      4. That this order shall be put into effect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Pr>
      <w:tblGrid>
        <w:gridCol w:w="7772"/>
        <w:gridCol w:w="4228"/>
      </w:tblGrid>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Turgumbayev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r>
        <w:br/>
      </w:r>
      <w:r>
        <w:rPr>
          <w:rFonts w:ascii="Times New Roman"/>
          <w:b w:val="false"/>
          <w:i w:val="false"/>
          <w:color w:val="000000"/>
          <w:sz w:val="28"/>
        </w:rPr>
        <w:t xml:space="preserve">Ministry of Finance </w:t>
      </w:r>
      <w:r>
        <w:br/>
      </w:r>
      <w:r>
        <w:rPr>
          <w:rFonts w:ascii="Times New Roman"/>
          <w:b w:val="false"/>
          <w:i w:val="false"/>
          <w:color w:val="000000"/>
          <w:sz w:val="28"/>
        </w:rPr>
        <w:t>of the Republic of Kazakhstan</w:t>
      </w:r>
      <w:r>
        <w:br/>
      </w:r>
      <w:r>
        <w:rPr>
          <w:rFonts w:ascii="Times New Roman"/>
          <w:b w:val="false"/>
          <w:i w:val="false"/>
          <w:color w:val="000000"/>
          <w:sz w:val="28"/>
        </w:rPr>
        <w:t>____________________</w:t>
      </w:r>
      <w:r>
        <w:br/>
      </w:r>
      <w:r>
        <w:rPr>
          <w:rFonts w:ascii="Times New Roman"/>
          <w:b w:val="false"/>
          <w:i w:val="false"/>
          <w:color w:val="000000"/>
          <w:sz w:val="28"/>
        </w:rPr>
        <w:t>" " _________ 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of the Minister of Internal Affairs</w:t>
            </w:r>
            <w:r>
              <w:br/>
            </w:r>
            <w:r>
              <w:rPr>
                <w:rFonts w:ascii="Times New Roman"/>
                <w:b w:val="false"/>
                <w:i w:val="false"/>
                <w:color w:val="000000"/>
                <w:sz w:val="20"/>
              </w:rPr>
              <w:t>of the Republic of Kazakhstan</w:t>
            </w:r>
          </w:p>
        </w:tc>
      </w:tr>
    </w:tbl>
    <w:bookmarkStart w:name="z9" w:id="7"/>
    <w:p>
      <w:pPr>
        <w:spacing w:after="0"/>
        <w:ind w:left="0"/>
        <w:jc w:val="left"/>
      </w:pPr>
      <w:r>
        <w:rPr>
          <w:rFonts w:ascii="Times New Roman"/>
          <w:b/>
          <w:i w:val="false"/>
          <w:color w:val="000000"/>
        </w:rPr>
        <w:t xml:space="preserve"> Natural norms for the provision of organisational equipment and office supplies to the National Guard of the Republic of Kazakhstan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516"/>
        <w:gridCol w:w="1531"/>
        <w:gridCol w:w="1368"/>
        <w:gridCol w:w="1175"/>
        <w:gridCol w:w="4307"/>
        <w:gridCol w:w="1902"/>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natural norm</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the natural norm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 in quantitative terms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time (year)</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application of the natural norms</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specifying the definition and application of natural norms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Organisational technology</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 Copying equipment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Copying machine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units of the secretariat of the National Guard Chief Command (hereinafter: NGCC) and one unit of the secret offices of the Regional Commands (hereinafter: RGC).</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Designed to produce a copy of documents, photographs, drawings and other two-dimensional images on paper and other materials.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 Auxiliary equipment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drill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NGCC secretariat, the Special State Archive of the National Guard (hereinafter referred to as SSA-NG), the secret departments of the RGC, formations, brigades, military units (hereinafter referred to as MU) and military training institutions (hereinafter referred to as MTI).</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for drilling holes. Used for stitching and restoring case documents.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collector (compressor)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SSA NG, NG, MTI.</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carry out the dedusting of archives, archive boxes and storage media.</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Scale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units of the SSA NG secretariat, SSA NG, RGC secret units, formations, brigades, military units and MTI.</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weight of the mail to be sent.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Office supplies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seals made of brass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staff unit of the CCNG; one staff unit of the directorates of the RGC, unit, brigade, military unit, higher education institution, military medical institution (hereinafter - MMI), separate deployed unit (hereinafter - SDU); one staff unit of the command (commander and his deputies) of a division, battalion, battery, company, platoon; one full-time unit of command, command post, shooting range, sports team, orchestra, ensemble; one full-time unit of centre, warehouse, storage base, department (faculty), editorial office, print shop, video studio, museum, archive, unit, club, library; Heads of workshops, laboratories, equipment, stations; for one staff unit of doctors and nursing staff of a military hospital, infirmary, polyclinic, medical unit, military-medical commission (hereinafter - MC), sanitary-epidemiological centre (hereinafter - SEC), pharmacy; per officer for operational duty officers and their assistants for the CCNG, for the RGC, for duty officers and their assistants for the unit, for the brigade, for the military unit, for the MTI, for the SDU, for the checkpoint (hereinafter - CP), for communications, for headquarters and for technical support service operators (hereinafter - SSO)</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stamping doors in offices and for sealing wax.</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(bags) for evacuation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units of the CCNG secretariat, SSA NG, RGC secret units, formations, brigades, military units and MTI.</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document evacuation, equipped with means for sealing (strips) and canvas carrying handles.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Emblem seals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first heads of CCNG, SSA NG, RGC secret detachments, formations, brigades, wards and MTI.</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certify the authenticity of issued regulations (documents).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subdivisions of the secretariat of CCNG, SSA NG, subdivisions of RGC secret departments , units, brigades, military units and MTI.</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certify outgoing, incoming and other documents.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subdivisions of the secretariat of CCNG, SSA NG, subdivisions of RGC secret departments , units, brigades, military units and MTI.</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record and send documents.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Archive box А4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3-4 cases – NG, MTI Special State Archive.</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storing archive documents and files on shelves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Archive box А3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3-4 cases – NG, MTI Special State Archive.</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storing archive documents and files on shelves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