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eb12" w14:textId="0e4e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Anti-Corruption Monitoring Rules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22 of the Chairman of the Agency of the Republic of Kazakhstan for Counteracting Corruption (Anti-Corruption Service) of January 28, 2020. Registered with the Ministry of Justice of the Republic of Kazakhstan on January 29, 2020 under No. 19941.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3) of paragraph 1 of Article 21 of the Law of the Republic of Kazakhstan "On combating corruption"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Chairman of the Anti-Corruption Agency of the Republic of Kazakhstan (Anti-corruption service) dated 16.06.2023 No. 192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enclosed Anti-Corruption Monitoring Rules shall be approved.</w:t>
      </w:r>
    </w:p>
    <w:p>
      <w:pPr>
        <w:spacing w:after="0"/>
        <w:ind w:left="0"/>
        <w:jc w:val="both"/>
      </w:pPr>
      <w:r>
        <w:rPr>
          <w:rFonts w:ascii="Times New Roman"/>
          <w:b w:val="false"/>
          <w:i w:val="false"/>
          <w:color w:val="000000"/>
          <w:sz w:val="28"/>
        </w:rPr>
        <w:t>
      2. That Order of the Chairman of the Agency of the Republic of Kazakhstan for Civil Service and Counteraction to Corruption No. 13 dated October 19, 2016 “On Approval of the Anti-Corruption Monitoring Rules” shall be deemed to have lost force (registered with the Register of State Registration of Regulatory Legal Acts under No. 14431, published on December 6, 2016 in Adilet, the information and legal system).</w:t>
      </w:r>
    </w:p>
    <w:p>
      <w:pPr>
        <w:spacing w:after="0"/>
        <w:ind w:left="0"/>
        <w:jc w:val="both"/>
      </w:pPr>
      <w:r>
        <w:rPr>
          <w:rFonts w:ascii="Times New Roman"/>
          <w:b w:val="false"/>
          <w:i w:val="false"/>
          <w:color w:val="000000"/>
          <w:sz w:val="28"/>
        </w:rPr>
        <w:t>
      3. That, according to the procedure set by the legislation, the Department of Prevention of the Agency of the Republic of Kazakhstan for Counteracting Corruption (Anti-Corruption Service) shall:</w:t>
      </w:r>
    </w:p>
    <w:p>
      <w:pPr>
        <w:spacing w:after="0"/>
        <w:ind w:left="0"/>
        <w:jc w:val="both"/>
      </w:pPr>
      <w:r>
        <w:rPr>
          <w:rFonts w:ascii="Times New Roman"/>
          <w:b w:val="false"/>
          <w:i w:val="false"/>
          <w:color w:val="000000"/>
          <w:sz w:val="28"/>
        </w:rPr>
        <w:t>
      1) provide the state registration hereof with the Ministry of Justice of the Republic of Kazakhstan;</w:t>
      </w:r>
    </w:p>
    <w:p>
      <w:pPr>
        <w:spacing w:after="0"/>
        <w:ind w:left="0"/>
        <w:jc w:val="both"/>
      </w:pPr>
      <w:r>
        <w:rPr>
          <w:rFonts w:ascii="Times New Roman"/>
          <w:b w:val="false"/>
          <w:i w:val="false"/>
          <w:color w:val="000000"/>
          <w:sz w:val="28"/>
        </w:rPr>
        <w:t>
      2) ensure posting hereof on the Internet site of the Agency of the Republic of Kazakhstan for Counteraction of Corruption (Anti-Corruption Service).</w:t>
      </w:r>
    </w:p>
    <w:p>
      <w:pPr>
        <w:spacing w:after="0"/>
        <w:ind w:left="0"/>
        <w:jc w:val="both"/>
      </w:pPr>
      <w:r>
        <w:rPr>
          <w:rFonts w:ascii="Times New Roman"/>
          <w:b w:val="false"/>
          <w:i w:val="false"/>
          <w:color w:val="000000"/>
          <w:sz w:val="28"/>
        </w:rPr>
        <w:t>
      4. That the First Deputy Chairman of the Agency of the Republic of Kazakhstan for Counteracting Corruption (Anti-Corruption Service) shall be charged with control over the execution of this Order.</w:t>
      </w:r>
    </w:p>
    <w:p>
      <w:pPr>
        <w:spacing w:after="0"/>
        <w:ind w:left="0"/>
        <w:jc w:val="both"/>
      </w:pPr>
      <w:r>
        <w:rPr>
          <w:rFonts w:ascii="Times New Roman"/>
          <w:b w:val="false"/>
          <w:i w:val="false"/>
          <w:color w:val="000000"/>
          <w:sz w:val="28"/>
        </w:rPr>
        <w:t>
      5. That this Order shall come into effect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Shpekbayev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of </w:t>
            </w:r>
            <w:r>
              <w:br/>
            </w:r>
            <w:r>
              <w:rPr>
                <w:rFonts w:ascii="Times New Roman"/>
                <w:b w:val="false"/>
                <w:i w:val="false"/>
                <w:color w:val="000000"/>
                <w:sz w:val="20"/>
              </w:rPr>
              <w:t>the Chairman of the Agency of</w:t>
            </w:r>
            <w:r>
              <w:br/>
            </w:r>
            <w:r>
              <w:rPr>
                <w:rFonts w:ascii="Times New Roman"/>
                <w:b w:val="false"/>
                <w:i w:val="false"/>
                <w:color w:val="000000"/>
                <w:sz w:val="20"/>
              </w:rPr>
              <w:t>the Republic of Kazakhstan</w:t>
            </w:r>
            <w:r>
              <w:br/>
            </w:r>
            <w:r>
              <w:rPr>
                <w:rFonts w:ascii="Times New Roman"/>
                <w:b w:val="false"/>
                <w:i w:val="false"/>
                <w:color w:val="000000"/>
                <w:sz w:val="20"/>
              </w:rPr>
              <w:t>for Counteracting Corruption</w:t>
            </w:r>
            <w:r>
              <w:br/>
            </w:r>
            <w:r>
              <w:rPr>
                <w:rFonts w:ascii="Times New Roman"/>
                <w:b w:val="false"/>
                <w:i w:val="false"/>
                <w:color w:val="000000"/>
                <w:sz w:val="20"/>
              </w:rPr>
              <w:t xml:space="preserve">(Anti-Corruption Service) </w:t>
            </w:r>
            <w:r>
              <w:br/>
            </w:r>
            <w:r>
              <w:rPr>
                <w:rFonts w:ascii="Times New Roman"/>
                <w:b w:val="false"/>
                <w:i w:val="false"/>
                <w:color w:val="000000"/>
                <w:sz w:val="20"/>
              </w:rPr>
              <w:t xml:space="preserve">No. 22 of January 28, 2020 </w:t>
            </w:r>
          </w:p>
        </w:tc>
      </w:tr>
    </w:tbl>
    <w:p>
      <w:pPr>
        <w:spacing w:after="0"/>
        <w:ind w:left="0"/>
        <w:jc w:val="left"/>
      </w:pPr>
      <w:r>
        <w:rPr>
          <w:rFonts w:ascii="Times New Roman"/>
          <w:b/>
          <w:i w:val="false"/>
          <w:color w:val="000000"/>
        </w:rPr>
        <w:t xml:space="preserve"> Rules for anti-corruption monitoring </w:t>
      </w:r>
    </w:p>
    <w:p>
      <w:pPr>
        <w:spacing w:after="0"/>
        <w:ind w:left="0"/>
        <w:jc w:val="both"/>
      </w:pPr>
      <w:r>
        <w:rPr>
          <w:rFonts w:ascii="Times New Roman"/>
          <w:b w:val="false"/>
          <w:i w:val="false"/>
          <w:color w:val="ff0000"/>
          <w:sz w:val="28"/>
        </w:rPr>
        <w:t>
      Footnote. Rules - as amended by the order of the Chairman of the Anti-corruption agency of the Republic of Kazakhstan (Anti-corruption Service) dated 16.06.2023  No. 192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anti-corruption monitoring (hereinafter referred to as the Rules) shall be developed in accordance with subparagraph 3) of paragraph 1 of Article 21 of the Law of the Republic of Kazakhstan "On combating corruption" and shall determine the procedure for conducting anti-corruption monitoring by anti-corruption subjects.</w:t>
      </w:r>
    </w:p>
    <w:p>
      <w:pPr>
        <w:spacing w:after="0"/>
        <w:ind w:left="0"/>
        <w:jc w:val="both"/>
      </w:pPr>
      <w:r>
        <w:rPr>
          <w:rFonts w:ascii="Times New Roman"/>
          <w:b w:val="false"/>
          <w:i w:val="false"/>
          <w:color w:val="000000"/>
          <w:sz w:val="28"/>
        </w:rPr>
        <w:t>
      2. Anti-corruption monitoring shall be carried out by the authorized anti-corruption body (hereinafter referred to as the authorized body), its territorial subdivisions and other anti-corruption subjects.</w:t>
      </w:r>
    </w:p>
    <w:p>
      <w:pPr>
        <w:spacing w:after="0"/>
        <w:ind w:left="0"/>
        <w:jc w:val="both"/>
      </w:pPr>
      <w:r>
        <w:rPr>
          <w:rFonts w:ascii="Times New Roman"/>
          <w:b w:val="false"/>
          <w:i w:val="false"/>
          <w:color w:val="000000"/>
          <w:sz w:val="28"/>
        </w:rPr>
        <w:t>
      3. Other anti-corruption subjects shall be state bodies, subjects of the quasi-public sector, public associations, as well as other individuals and legal entities.</w:t>
      </w:r>
    </w:p>
    <w:p>
      <w:pPr>
        <w:spacing w:after="0"/>
        <w:ind w:left="0"/>
        <w:jc w:val="both"/>
      </w:pPr>
      <w:r>
        <w:rPr>
          <w:rFonts w:ascii="Times New Roman"/>
          <w:b w:val="false"/>
          <w:i w:val="false"/>
          <w:color w:val="000000"/>
          <w:sz w:val="28"/>
        </w:rPr>
        <w:t>
      4. The purpose of anti-corruption monitoring shall be to assess law enforcement practices in the field of anti-corruption.</w:t>
      </w:r>
    </w:p>
    <w:p>
      <w:pPr>
        <w:spacing w:after="0"/>
        <w:ind w:left="0"/>
        <w:jc w:val="both"/>
      </w:pPr>
      <w:r>
        <w:rPr>
          <w:rFonts w:ascii="Times New Roman"/>
          <w:b w:val="false"/>
          <w:i w:val="false"/>
          <w:color w:val="000000"/>
          <w:sz w:val="28"/>
        </w:rPr>
        <w:t>
      5. These Rules shall not apply to the activities of special state bodies.</w:t>
      </w:r>
    </w:p>
    <w:p>
      <w:pPr>
        <w:spacing w:after="0"/>
        <w:ind w:left="0"/>
        <w:jc w:val="both"/>
      </w:pPr>
      <w:r>
        <w:rPr>
          <w:rFonts w:ascii="Times New Roman"/>
          <w:b w:val="false"/>
          <w:i w:val="false"/>
          <w:color w:val="000000"/>
          <w:sz w:val="28"/>
        </w:rPr>
        <w:t>
      6. The subject of anti-corruption monitoring shall be information regarding the effectiveness of anti-corruption policy, the state of law enforcement practice in the field of combating corruption, as well as the perception and assessment of the level of corruption by society.</w:t>
      </w:r>
    </w:p>
    <w:p>
      <w:pPr>
        <w:spacing w:after="0"/>
        <w:ind w:left="0"/>
        <w:jc w:val="both"/>
      </w:pPr>
      <w:r>
        <w:rPr>
          <w:rFonts w:ascii="Times New Roman"/>
          <w:b w:val="false"/>
          <w:i w:val="false"/>
          <w:color w:val="000000"/>
          <w:sz w:val="28"/>
        </w:rPr>
        <w:t>
      7. Sources for anti-corruption monitoring shall be:</w:t>
      </w:r>
    </w:p>
    <w:p>
      <w:pPr>
        <w:spacing w:after="0"/>
        <w:ind w:left="0"/>
        <w:jc w:val="both"/>
      </w:pPr>
      <w:r>
        <w:rPr>
          <w:rFonts w:ascii="Times New Roman"/>
          <w:b w:val="false"/>
          <w:i w:val="false"/>
          <w:color w:val="000000"/>
          <w:sz w:val="28"/>
        </w:rPr>
        <w:t>
      1) data of legal statistics bodies;</w:t>
      </w:r>
    </w:p>
    <w:p>
      <w:pPr>
        <w:spacing w:after="0"/>
        <w:ind w:left="0"/>
        <w:jc w:val="both"/>
      </w:pPr>
      <w:r>
        <w:rPr>
          <w:rFonts w:ascii="Times New Roman"/>
          <w:b w:val="false"/>
          <w:i w:val="false"/>
          <w:color w:val="000000"/>
          <w:sz w:val="28"/>
        </w:rPr>
        <w:t>
      2) appeals of individuals and legal entities on anti-corruption issues;</w:t>
      </w:r>
    </w:p>
    <w:p>
      <w:pPr>
        <w:spacing w:after="0"/>
        <w:ind w:left="0"/>
        <w:jc w:val="both"/>
      </w:pPr>
      <w:r>
        <w:rPr>
          <w:rFonts w:ascii="Times New Roman"/>
          <w:b w:val="false"/>
          <w:i w:val="false"/>
          <w:color w:val="000000"/>
          <w:sz w:val="28"/>
        </w:rPr>
        <w:t>
      3) information of non-governmental and international organizations;</w:t>
      </w:r>
    </w:p>
    <w:p>
      <w:pPr>
        <w:spacing w:after="0"/>
        <w:ind w:left="0"/>
        <w:jc w:val="both"/>
      </w:pPr>
      <w:r>
        <w:rPr>
          <w:rFonts w:ascii="Times New Roman"/>
          <w:b w:val="false"/>
          <w:i w:val="false"/>
          <w:color w:val="000000"/>
          <w:sz w:val="28"/>
        </w:rPr>
        <w:t>
      4) data of sociological surveys on anti-corruption issues;</w:t>
      </w:r>
    </w:p>
    <w:p>
      <w:pPr>
        <w:spacing w:after="0"/>
        <w:ind w:left="0"/>
        <w:jc w:val="both"/>
      </w:pPr>
      <w:r>
        <w:rPr>
          <w:rFonts w:ascii="Times New Roman"/>
          <w:b w:val="false"/>
          <w:i w:val="false"/>
          <w:color w:val="000000"/>
          <w:sz w:val="28"/>
        </w:rPr>
        <w:t>
      5) publications in the media;</w:t>
      </w:r>
    </w:p>
    <w:p>
      <w:pPr>
        <w:spacing w:after="0"/>
        <w:ind w:left="0"/>
        <w:jc w:val="both"/>
      </w:pPr>
      <w:r>
        <w:rPr>
          <w:rFonts w:ascii="Times New Roman"/>
          <w:b w:val="false"/>
          <w:i w:val="false"/>
          <w:color w:val="000000"/>
          <w:sz w:val="28"/>
        </w:rPr>
        <w:t>
      6) other sources of information not prohibited by the law.</w:t>
      </w:r>
    </w:p>
    <w:p>
      <w:pPr>
        <w:spacing w:after="0"/>
        <w:ind w:left="0"/>
        <w:jc w:val="left"/>
      </w:pPr>
      <w:r>
        <w:rPr>
          <w:rFonts w:ascii="Times New Roman"/>
          <w:b/>
          <w:i w:val="false"/>
          <w:color w:val="000000"/>
        </w:rPr>
        <w:t xml:space="preserve"> Chapter 2. Anti-corruption monitoring procedure</w:t>
      </w:r>
    </w:p>
    <w:p>
      <w:pPr>
        <w:spacing w:after="0"/>
        <w:ind w:left="0"/>
        <w:jc w:val="both"/>
      </w:pPr>
      <w:r>
        <w:rPr>
          <w:rFonts w:ascii="Times New Roman"/>
          <w:b w:val="false"/>
          <w:i w:val="false"/>
          <w:color w:val="000000"/>
          <w:sz w:val="28"/>
        </w:rPr>
        <w:t>
      8. Anti-corruption monitoring shall be carried out by collecting, processing, summarizing, analyzing and evaluating the information specified in paragraph 7 of these Rules.</w:t>
      </w:r>
    </w:p>
    <w:p>
      <w:pPr>
        <w:spacing w:after="0"/>
        <w:ind w:left="0"/>
        <w:jc w:val="both"/>
      </w:pPr>
      <w:r>
        <w:rPr>
          <w:rFonts w:ascii="Times New Roman"/>
          <w:b w:val="false"/>
          <w:i w:val="false"/>
          <w:color w:val="000000"/>
          <w:sz w:val="28"/>
        </w:rPr>
        <w:t>
      9. Anti-corruption monitoring shall be divided into the following types:</w:t>
      </w:r>
    </w:p>
    <w:p>
      <w:pPr>
        <w:spacing w:after="0"/>
        <w:ind w:left="0"/>
        <w:jc w:val="both"/>
      </w:pPr>
      <w:r>
        <w:rPr>
          <w:rFonts w:ascii="Times New Roman"/>
          <w:b w:val="false"/>
          <w:i w:val="false"/>
          <w:color w:val="000000"/>
          <w:sz w:val="28"/>
        </w:rPr>
        <w:t>
      1) complex;</w:t>
      </w:r>
    </w:p>
    <w:p>
      <w:pPr>
        <w:spacing w:after="0"/>
        <w:ind w:left="0"/>
        <w:jc w:val="both"/>
      </w:pPr>
      <w:r>
        <w:rPr>
          <w:rFonts w:ascii="Times New Roman"/>
          <w:b w:val="false"/>
          <w:i w:val="false"/>
          <w:color w:val="000000"/>
          <w:sz w:val="28"/>
        </w:rPr>
        <w:t>
      2) thematic.</w:t>
      </w:r>
    </w:p>
    <w:p>
      <w:pPr>
        <w:spacing w:after="0"/>
        <w:ind w:left="0"/>
        <w:jc w:val="both"/>
      </w:pPr>
      <w:r>
        <w:rPr>
          <w:rFonts w:ascii="Times New Roman"/>
          <w:b w:val="false"/>
          <w:i w:val="false"/>
          <w:color w:val="000000"/>
          <w:sz w:val="28"/>
        </w:rPr>
        <w:t>
      10. Comprehensive anti-corruption monitoring shall be carried out by the authorized body and its territorial divisions.</w:t>
      </w:r>
    </w:p>
    <w:p>
      <w:pPr>
        <w:spacing w:after="0"/>
        <w:ind w:left="0"/>
        <w:jc w:val="both"/>
      </w:pPr>
      <w:r>
        <w:rPr>
          <w:rFonts w:ascii="Times New Roman"/>
          <w:b w:val="false"/>
          <w:i w:val="false"/>
          <w:color w:val="000000"/>
          <w:sz w:val="28"/>
        </w:rPr>
        <w:t>
      When conducting comprehensive anti-corruption monitoring, law enforcement practice shall be assessed on anti-corruption issues in various areas of activity, including the activities of two or more state bodies, organizations and/or entities of the quasi-public sector.</w:t>
      </w:r>
    </w:p>
    <w:p>
      <w:pPr>
        <w:spacing w:after="0"/>
        <w:ind w:left="0"/>
        <w:jc w:val="both"/>
      </w:pPr>
      <w:r>
        <w:rPr>
          <w:rFonts w:ascii="Times New Roman"/>
          <w:b w:val="false"/>
          <w:i w:val="false"/>
          <w:color w:val="000000"/>
          <w:sz w:val="28"/>
        </w:rPr>
        <w:t>
      The objectives of comprehensive anti-corruption monitoring shall be:</w:t>
      </w:r>
    </w:p>
    <w:p>
      <w:pPr>
        <w:spacing w:after="0"/>
        <w:ind w:left="0"/>
        <w:jc w:val="both"/>
      </w:pPr>
      <w:r>
        <w:rPr>
          <w:rFonts w:ascii="Times New Roman"/>
          <w:b w:val="false"/>
          <w:i w:val="false"/>
          <w:color w:val="000000"/>
          <w:sz w:val="28"/>
        </w:rPr>
        <w:t>
      1) determining the areas of activity most susceptible to corruption;</w:t>
      </w:r>
    </w:p>
    <w:p>
      <w:pPr>
        <w:spacing w:after="0"/>
        <w:ind w:left="0"/>
        <w:jc w:val="both"/>
      </w:pPr>
      <w:r>
        <w:rPr>
          <w:rFonts w:ascii="Times New Roman"/>
          <w:b w:val="false"/>
          <w:i w:val="false"/>
          <w:color w:val="000000"/>
          <w:sz w:val="28"/>
        </w:rPr>
        <w:t>
      2) assessment of the effectiveness of anti-corruption measures taken by state bodies, organizations, entities of the quasi-public sector;</w:t>
      </w:r>
    </w:p>
    <w:p>
      <w:pPr>
        <w:spacing w:after="0"/>
        <w:ind w:left="0"/>
        <w:jc w:val="both"/>
      </w:pPr>
      <w:r>
        <w:rPr>
          <w:rFonts w:ascii="Times New Roman"/>
          <w:b w:val="false"/>
          <w:i w:val="false"/>
          <w:color w:val="000000"/>
          <w:sz w:val="28"/>
        </w:rPr>
        <w:t>
      3) analysis of perception and assessment of the level of corruption by society.</w:t>
      </w:r>
    </w:p>
    <w:p>
      <w:pPr>
        <w:spacing w:after="0"/>
        <w:ind w:left="0"/>
        <w:jc w:val="both"/>
      </w:pPr>
      <w:r>
        <w:rPr>
          <w:rFonts w:ascii="Times New Roman"/>
          <w:b w:val="false"/>
          <w:i w:val="false"/>
          <w:color w:val="000000"/>
          <w:sz w:val="28"/>
        </w:rPr>
        <w:t>
      11. Thematic anti-corruption monitoring shall be carried out by the authorized body, its territorial divisions and other anti-corruption subjects.</w:t>
      </w:r>
    </w:p>
    <w:p>
      <w:pPr>
        <w:spacing w:after="0"/>
        <w:ind w:left="0"/>
        <w:jc w:val="both"/>
      </w:pPr>
      <w:r>
        <w:rPr>
          <w:rFonts w:ascii="Times New Roman"/>
          <w:b w:val="false"/>
          <w:i w:val="false"/>
          <w:color w:val="000000"/>
          <w:sz w:val="28"/>
        </w:rPr>
        <w:t>
      When conducting thematic anti-corruption monitoring, law enforcement practice shall be assessed on anti-corruption issues in a certain area of ​ ​ activity, a specific state body, organization or subject of the quasi-public sector.</w:t>
      </w:r>
    </w:p>
    <w:p>
      <w:pPr>
        <w:spacing w:after="0"/>
        <w:ind w:left="0"/>
        <w:jc w:val="both"/>
      </w:pPr>
      <w:r>
        <w:rPr>
          <w:rFonts w:ascii="Times New Roman"/>
          <w:b w:val="false"/>
          <w:i w:val="false"/>
          <w:color w:val="000000"/>
          <w:sz w:val="28"/>
        </w:rPr>
        <w:t>
      The task of thematic anti-corruption monitoring shall be to study problematic issues that contribute to the manifestations of corruption in a certain area, a specific state body, organization or subject of the quasi-public sector.</w:t>
      </w:r>
    </w:p>
    <w:p>
      <w:pPr>
        <w:spacing w:after="0"/>
        <w:ind w:left="0"/>
        <w:jc w:val="both"/>
      </w:pPr>
      <w:r>
        <w:rPr>
          <w:rFonts w:ascii="Times New Roman"/>
          <w:b w:val="false"/>
          <w:i w:val="false"/>
          <w:color w:val="000000"/>
          <w:sz w:val="28"/>
        </w:rPr>
        <w:t>
      12. If necessary, by the decision of the head of the authorized body or its territorial division, a working group is created to conduct anti-corruption monitoring with the involvement of members of the public and the expert community (as agreed).</w:t>
      </w:r>
    </w:p>
    <w:p>
      <w:pPr>
        <w:spacing w:after="0"/>
        <w:ind w:left="0"/>
        <w:jc w:val="both"/>
      </w:pPr>
      <w:r>
        <w:rPr>
          <w:rFonts w:ascii="Times New Roman"/>
          <w:b w:val="false"/>
          <w:i w:val="false"/>
          <w:color w:val="000000"/>
          <w:sz w:val="28"/>
        </w:rPr>
        <w:t>
      13. The authorized body and its territorial divisions shall carry out anti-corruption monitoring within the following terms:</w:t>
      </w:r>
    </w:p>
    <w:p>
      <w:pPr>
        <w:spacing w:after="0"/>
        <w:ind w:left="0"/>
        <w:jc w:val="both"/>
      </w:pPr>
      <w:r>
        <w:rPr>
          <w:rFonts w:ascii="Times New Roman"/>
          <w:b w:val="false"/>
          <w:i w:val="false"/>
          <w:color w:val="000000"/>
          <w:sz w:val="28"/>
        </w:rPr>
        <w:t>
      1) comprehensive anti-corruption monitoring - at least once a year;</w:t>
      </w:r>
    </w:p>
    <w:p>
      <w:pPr>
        <w:spacing w:after="0"/>
        <w:ind w:left="0"/>
        <w:jc w:val="both"/>
      </w:pPr>
      <w:r>
        <w:rPr>
          <w:rFonts w:ascii="Times New Roman"/>
          <w:b w:val="false"/>
          <w:i w:val="false"/>
          <w:color w:val="000000"/>
          <w:sz w:val="28"/>
        </w:rPr>
        <w:t>
      2) thematic anti-corruption monitoring - on an ongoing basis.</w:t>
      </w:r>
    </w:p>
    <w:p>
      <w:pPr>
        <w:spacing w:after="0"/>
        <w:ind w:left="0"/>
        <w:jc w:val="both"/>
      </w:pPr>
      <w:r>
        <w:rPr>
          <w:rFonts w:ascii="Times New Roman"/>
          <w:b w:val="false"/>
          <w:i w:val="false"/>
          <w:color w:val="000000"/>
          <w:sz w:val="28"/>
        </w:rPr>
        <w:t>
      14. Other anti-corruption actors shall conduct thematic anti-corruption monitoring on their own initiative, at any time in the following order:</w:t>
      </w:r>
    </w:p>
    <w:p>
      <w:pPr>
        <w:spacing w:after="0"/>
        <w:ind w:left="0"/>
        <w:jc w:val="both"/>
      </w:pPr>
      <w:r>
        <w:rPr>
          <w:rFonts w:ascii="Times New Roman"/>
          <w:b w:val="false"/>
          <w:i w:val="false"/>
          <w:color w:val="000000"/>
          <w:sz w:val="28"/>
        </w:rPr>
        <w:t>
      1) collection and generalization from open sources of information provided for in paragraph 7 of these Rules;</w:t>
      </w:r>
    </w:p>
    <w:p>
      <w:pPr>
        <w:spacing w:after="0"/>
        <w:ind w:left="0"/>
        <w:jc w:val="both"/>
      </w:pPr>
      <w:r>
        <w:rPr>
          <w:rFonts w:ascii="Times New Roman"/>
          <w:b w:val="false"/>
          <w:i w:val="false"/>
          <w:color w:val="000000"/>
          <w:sz w:val="28"/>
        </w:rPr>
        <w:t>
      2) study and analysis of the collected information;</w:t>
      </w:r>
    </w:p>
    <w:p>
      <w:pPr>
        <w:spacing w:after="0"/>
        <w:ind w:left="0"/>
        <w:jc w:val="both"/>
      </w:pPr>
      <w:r>
        <w:rPr>
          <w:rFonts w:ascii="Times New Roman"/>
          <w:b w:val="false"/>
          <w:i w:val="false"/>
          <w:color w:val="000000"/>
          <w:sz w:val="28"/>
        </w:rPr>
        <w:t>
      3) identification of problematic issues that contribute to manifestations of corruption in a certain area of ​ ​ activity, a specific state body, organization or subject of the quasi-public sector;</w:t>
      </w:r>
    </w:p>
    <w:p>
      <w:pPr>
        <w:spacing w:after="0"/>
        <w:ind w:left="0"/>
        <w:jc w:val="both"/>
      </w:pPr>
      <w:r>
        <w:rPr>
          <w:rFonts w:ascii="Times New Roman"/>
          <w:b w:val="false"/>
          <w:i w:val="false"/>
          <w:color w:val="000000"/>
          <w:sz w:val="28"/>
        </w:rPr>
        <w:t>
      4) formation of the result of anti-corruption monitoring with the development of proposals to improve the effectiveness of the activities of state bodies, organizations and/or entities of the quasi-public sector to combat corruption.</w:t>
      </w:r>
    </w:p>
    <w:p>
      <w:pPr>
        <w:spacing w:after="0"/>
        <w:ind w:left="0"/>
        <w:jc w:val="left"/>
      </w:pPr>
      <w:r>
        <w:rPr>
          <w:rFonts w:ascii="Times New Roman"/>
          <w:b/>
          <w:i w:val="false"/>
          <w:color w:val="000000"/>
        </w:rPr>
        <w:t xml:space="preserve"> Chapter 3. Results of anti-corruption monitoring</w:t>
      </w:r>
    </w:p>
    <w:p>
      <w:pPr>
        <w:spacing w:after="0"/>
        <w:ind w:left="0"/>
        <w:jc w:val="both"/>
      </w:pPr>
      <w:r>
        <w:rPr>
          <w:rFonts w:ascii="Times New Roman"/>
          <w:b w:val="false"/>
          <w:i w:val="false"/>
          <w:color w:val="000000"/>
          <w:sz w:val="28"/>
        </w:rPr>
        <w:t>
      15. Based on the results of comprehensive and thematic anti-corruption monitoring, an analytical report shall be formed in the form, according to the annex to these Rules, reflecting the results of anti-corruption monitoring and a decision in accordance with paragraph 16 of these Rules.</w:t>
      </w:r>
    </w:p>
    <w:p>
      <w:pPr>
        <w:spacing w:after="0"/>
        <w:ind w:left="0"/>
        <w:jc w:val="both"/>
      </w:pPr>
      <w:r>
        <w:rPr>
          <w:rFonts w:ascii="Times New Roman"/>
          <w:b w:val="false"/>
          <w:i w:val="false"/>
          <w:color w:val="000000"/>
          <w:sz w:val="28"/>
        </w:rPr>
        <w:t>
      16. Based on the results of anti-corruption monitoring, a decision shall be formed that includes:</w:t>
      </w:r>
    </w:p>
    <w:p>
      <w:pPr>
        <w:spacing w:after="0"/>
        <w:ind w:left="0"/>
        <w:jc w:val="both"/>
      </w:pPr>
      <w:r>
        <w:rPr>
          <w:rFonts w:ascii="Times New Roman"/>
          <w:b w:val="false"/>
          <w:i w:val="false"/>
          <w:color w:val="000000"/>
          <w:sz w:val="28"/>
        </w:rPr>
        <w:t>
      1) assessment of the effectiveness of anti-corruption measures and proposals for improving the effectiveness of the activities of state bodies, organizations and/or entities of the quasi-public sector to combat corruption;</w:t>
      </w:r>
    </w:p>
    <w:p>
      <w:pPr>
        <w:spacing w:after="0"/>
        <w:ind w:left="0"/>
        <w:jc w:val="both"/>
      </w:pPr>
      <w:r>
        <w:rPr>
          <w:rFonts w:ascii="Times New Roman"/>
          <w:b w:val="false"/>
          <w:i w:val="false"/>
          <w:color w:val="000000"/>
          <w:sz w:val="28"/>
        </w:rPr>
        <w:t>
      2) recommendations on the analysis of corruption risks in the activities of state bodies, organizations and/or entities of the quasi-public sector.</w:t>
      </w:r>
    </w:p>
    <w:p>
      <w:pPr>
        <w:spacing w:after="0"/>
        <w:ind w:left="0"/>
        <w:jc w:val="both"/>
      </w:pPr>
      <w:r>
        <w:rPr>
          <w:rFonts w:ascii="Times New Roman"/>
          <w:b w:val="false"/>
          <w:i w:val="false"/>
          <w:color w:val="000000"/>
          <w:sz w:val="28"/>
        </w:rPr>
        <w:t>
      17. An analytical report on the results of anti-corruption monitoring conducted by the territorial subdivisions of the authorized body and other anti-corruption entities shall be sent to the interested territorial subdivision of the central state body, local executive body, state organization or a quasi-public sector entity for consideration of the decision made in accordance with paragraph 16 of these Rules, as well as to the authorized body for generalization.</w:t>
      </w:r>
    </w:p>
    <w:p>
      <w:pPr>
        <w:spacing w:after="0"/>
        <w:ind w:left="0"/>
        <w:jc w:val="both"/>
      </w:pPr>
      <w:r>
        <w:rPr>
          <w:rFonts w:ascii="Times New Roman"/>
          <w:b w:val="false"/>
          <w:i w:val="false"/>
          <w:color w:val="000000"/>
          <w:sz w:val="28"/>
        </w:rPr>
        <w:t>
      18. The authorized body on an ongoing basis shall consider and analyze analytical reports on the results of anti-corruption monitoring sent by its territorial divisions and other anti-corruption subjects.</w:t>
      </w:r>
    </w:p>
    <w:p>
      <w:pPr>
        <w:spacing w:after="0"/>
        <w:ind w:left="0"/>
        <w:jc w:val="both"/>
      </w:pPr>
      <w:r>
        <w:rPr>
          <w:rFonts w:ascii="Times New Roman"/>
          <w:b w:val="false"/>
          <w:i w:val="false"/>
          <w:color w:val="000000"/>
          <w:sz w:val="28"/>
        </w:rPr>
        <w:t>
      19. The analytical report on the results of comprehensive anti-corruption monitoring shall be posted on the official Internet resource of the authorized body.</w:t>
      </w:r>
    </w:p>
    <w:p>
      <w:pPr>
        <w:spacing w:after="0"/>
        <w:ind w:left="0"/>
        <w:jc w:val="both"/>
      </w:pPr>
      <w:r>
        <w:rPr>
          <w:rFonts w:ascii="Times New Roman"/>
          <w:b w:val="false"/>
          <w:i w:val="false"/>
          <w:color w:val="000000"/>
          <w:sz w:val="28"/>
        </w:rPr>
        <w:t>
      20. An analytical report on the results of anti-corruption monitoring conducted by the authorized body shall be sent to interested state bodies, organizations, entities of the quasi-public sector.</w:t>
      </w:r>
    </w:p>
    <w:p>
      <w:pPr>
        <w:spacing w:after="0"/>
        <w:ind w:left="0"/>
        <w:jc w:val="both"/>
      </w:pPr>
      <w:r>
        <w:rPr>
          <w:rFonts w:ascii="Times New Roman"/>
          <w:b w:val="false"/>
          <w:i w:val="false"/>
          <w:color w:val="000000"/>
          <w:sz w:val="28"/>
        </w:rPr>
        <w:t>
      21. The results of anti-corruption monitoring can be considered at meetings of consultative and advisory bodies on combating corruption, public councils formed by state bodies and entities of the quasi-public sector.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anti-corruption monitoring</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Analytical report on the results of anti-corruption monitoring</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(type of anti-corruption monitoring)</w:t>
      </w:r>
    </w:p>
    <w:p>
      <w:pPr>
        <w:spacing w:after="0"/>
        <w:ind w:left="0"/>
        <w:jc w:val="both"/>
      </w:pPr>
      <w:r>
        <w:rPr>
          <w:rFonts w:ascii="Times New Roman"/>
          <w:b w:val="false"/>
          <w:i w:val="false"/>
          <w:color w:val="000000"/>
          <w:sz w:val="28"/>
        </w:rPr>
        <w:t>
      I. Introduction</w:t>
      </w:r>
    </w:p>
    <w:p>
      <w:pPr>
        <w:spacing w:after="0"/>
        <w:ind w:left="0"/>
        <w:jc w:val="both"/>
      </w:pPr>
      <w:r>
        <w:rPr>
          <w:rFonts w:ascii="Times New Roman"/>
          <w:b w:val="false"/>
          <w:i w:val="false"/>
          <w:color w:val="000000"/>
          <w:sz w:val="28"/>
        </w:rPr>
        <w:t>
      1. The name of spheres of activity to whom anti-corruption monitoring / name state body (bodies), the organization(s) and/or a subject(s) of the quasi-public sector on which activity anti-corruption monitoring has been carried out: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Anti-corruption monitoring shall be carried out: natural/legal entity, e-mail address, phone number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Period of carrying out anti-corruption monitoring:</w:t>
      </w:r>
    </w:p>
    <w:p>
      <w:pPr>
        <w:spacing w:after="0"/>
        <w:ind w:left="0"/>
        <w:jc w:val="both"/>
      </w:pPr>
      <w:r>
        <w:rPr>
          <w:rFonts w:ascii="Times New Roman"/>
          <w:b w:val="false"/>
          <w:i w:val="false"/>
          <w:color w:val="000000"/>
          <w:sz w:val="28"/>
        </w:rPr>
        <w:t>
       began ______ finished ______.</w:t>
      </w:r>
    </w:p>
    <w:p>
      <w:pPr>
        <w:spacing w:after="0"/>
        <w:ind w:left="0"/>
        <w:jc w:val="both"/>
      </w:pPr>
      <w:r>
        <w:rPr>
          <w:rFonts w:ascii="Times New Roman"/>
          <w:b w:val="false"/>
          <w:i w:val="false"/>
          <w:color w:val="000000"/>
          <w:sz w:val="28"/>
        </w:rPr>
        <w:t>
      II. Information and analytical part</w:t>
      </w:r>
    </w:p>
    <w:p>
      <w:pPr>
        <w:spacing w:after="0"/>
        <w:ind w:left="0"/>
        <w:jc w:val="both"/>
      </w:pPr>
      <w:r>
        <w:rPr>
          <w:rFonts w:ascii="Times New Roman"/>
          <w:b w:val="false"/>
          <w:i w:val="false"/>
          <w:color w:val="000000"/>
          <w:sz w:val="28"/>
        </w:rPr>
        <w:t>
      The quantitative and quality indicators characterizing a state and the causes of corruption in activity of public authorities, organizations, subjects of the quasi-public sector.</w:t>
      </w:r>
    </w:p>
    <w:p>
      <w:pPr>
        <w:spacing w:after="0"/>
        <w:ind w:left="0"/>
        <w:jc w:val="both"/>
      </w:pPr>
      <w:r>
        <w:rPr>
          <w:rFonts w:ascii="Times New Roman"/>
          <w:b w:val="false"/>
          <w:i w:val="false"/>
          <w:color w:val="000000"/>
          <w:sz w:val="28"/>
        </w:rPr>
        <w:t>
      III. Final part</w:t>
      </w:r>
    </w:p>
    <w:p>
      <w:pPr>
        <w:spacing w:after="0"/>
        <w:ind w:left="0"/>
        <w:jc w:val="both"/>
      </w:pPr>
      <w:r>
        <w:rPr>
          <w:rFonts w:ascii="Times New Roman"/>
          <w:b w:val="false"/>
          <w:i w:val="false"/>
          <w:color w:val="000000"/>
          <w:sz w:val="28"/>
        </w:rPr>
        <w:t>
      Conclusions. The quantitative and/or quality indicators allowing to measure efficiency of law-enforcement practice on anti-corruption and the decision according to paragraph 16 to these Rules.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