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fab4" w14:textId="821f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for the feasibility study of the project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July 11, 2019 № 501. Registered with the Ministry of Justice of the Republic of Kazakhstan on July 18, 2019 № 19045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7) of paragraph 3 of Article 18 of the Law of the Republic of Kazakhstan dated April 3, 2019 “On Special Economic and Industrial Zones”, I HEREBY ORDER:</w:t>
      </w:r>
    </w:p>
    <w:p>
      <w:pPr>
        <w:spacing w:after="0"/>
        <w:ind w:left="0"/>
        <w:jc w:val="both"/>
      </w:pPr>
      <w:r>
        <w:rPr>
          <w:rFonts w:ascii="Times New Roman"/>
          <w:b w:val="false"/>
          <w:i w:val="false"/>
          <w:color w:val="000000"/>
          <w:sz w:val="28"/>
        </w:rPr>
        <w:t>
      1. To approve the requirements for the feasibility study of the project.</w:t>
      </w:r>
    </w:p>
    <w:p>
      <w:pPr>
        <w:spacing w:after="0"/>
        <w:ind w:left="0"/>
        <w:jc w:val="both"/>
      </w:pPr>
      <w:r>
        <w:rPr>
          <w:rFonts w:ascii="Times New Roman"/>
          <w:b w:val="false"/>
          <w:i w:val="false"/>
          <w:color w:val="000000"/>
          <w:sz w:val="28"/>
        </w:rPr>
        <w:t>
      2. To recognize as invalid the order of the Deputy Prime Minister of the Republic of Kazakhstan - Minister of Industry and New Technologies of the Republic of Kazakhstan dated November 21, 2011 № 425 "On approval of the requirements for the feasibility study of a project submitted by an applicant to carry out activities as a participant in a special economic zone" (registered in the Register of regulatory legal acts of the Republic of Kazakhstan under № 7345, published in the newspapers "Kazakhstanskaya Pravda" dated December 29, 2011, № 421-423 (26812-26814), "Egemen Kazakhstan" dated December 29, 2011 № 660-665 (27057).</w:t>
      </w:r>
    </w:p>
    <w:p>
      <w:pPr>
        <w:spacing w:after="0"/>
        <w:ind w:left="0"/>
        <w:jc w:val="both"/>
      </w:pPr>
      <w:r>
        <w:rPr>
          <w:rFonts w:ascii="Times New Roman"/>
          <w:b w:val="false"/>
          <w:i w:val="false"/>
          <w:color w:val="000000"/>
          <w:sz w:val="28"/>
        </w:rPr>
        <w:t>
      3. The Committee for Industrial Development and Industrial Safety of the Ministry of Industry and Infrastructural Development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Kazakh and Russian languages to the Republican state enterprise on the right of economic management "Institute of Legislation and Legal Information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4. Control over the execution of this order shall be assigned to the supervising Vice-Minister of Industry and Infrastructural Development of the Republic of Kazakhstan.</w:t>
      </w:r>
    </w:p>
    <w:p>
      <w:pPr>
        <w:spacing w:after="0"/>
        <w:ind w:left="0"/>
        <w:jc w:val="both"/>
      </w:pPr>
      <w:r>
        <w:rPr>
          <w:rFonts w:ascii="Times New Roman"/>
          <w:b w:val="false"/>
          <w:i w:val="false"/>
          <w:color w:val="000000"/>
          <w:sz w:val="28"/>
        </w:rPr>
        <w:t>
      5. This order shall enter into force upon expiration of ten calendar days after the date of its first official publication.</w:t>
      </w:r>
    </w:p>
    <w:p>
      <w:pPr>
        <w:spacing w:after="0"/>
        <w:ind w:left="0"/>
        <w:jc w:val="both"/>
      </w:pPr>
      <w:r>
        <w:rPr>
          <w:rFonts w:ascii="Times New Roman"/>
          <w:b w:val="false"/>
          <w:i w:val="false"/>
          <w:color w:val="000000"/>
          <w:sz w:val="28"/>
        </w:rPr>
        <w:t xml:space="preserve">
      Minister of Industry and Infrastructural </w:t>
      </w:r>
    </w:p>
    <w:p>
      <w:pPr>
        <w:spacing w:after="0"/>
        <w:ind w:left="0"/>
        <w:jc w:val="both"/>
      </w:pPr>
      <w:r>
        <w:rPr>
          <w:rFonts w:ascii="Times New Roman"/>
          <w:b w:val="false"/>
          <w:i w:val="false"/>
          <w:color w:val="000000"/>
          <w:sz w:val="28"/>
        </w:rPr>
        <w:t>
      Development of the Republic of Kazakhstan R. Sklyar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Industry and Infrastructural Development of the Republic of Kazakhstan dated July 11, 2019 № 501</w:t>
            </w:r>
          </w:p>
        </w:tc>
      </w:tr>
    </w:tbl>
    <w:p>
      <w:pPr>
        <w:spacing w:after="0"/>
        <w:ind w:left="0"/>
        <w:jc w:val="left"/>
      </w:pPr>
      <w:r>
        <w:rPr>
          <w:rFonts w:ascii="Times New Roman"/>
          <w:b/>
          <w:i w:val="false"/>
          <w:color w:val="000000"/>
        </w:rPr>
        <w:t xml:space="preserve"> Requirements for the feasibility study of the project Chapter 1. General provisions</w:t>
      </w:r>
    </w:p>
    <w:p>
      <w:pPr>
        <w:spacing w:after="0"/>
        <w:ind w:left="0"/>
        <w:jc w:val="both"/>
      </w:pPr>
      <w:r>
        <w:rPr>
          <w:rFonts w:ascii="Times New Roman"/>
          <w:b w:val="false"/>
          <w:i w:val="false"/>
          <w:color w:val="000000"/>
          <w:sz w:val="28"/>
        </w:rPr>
        <w:t>
      1. These requirements for the feasibility study of the project have been developed in accordance with subparagraph 7) of paragraph 3 of Article 18 of the Law of the Republic of Kazakhstan dated April 3, 2019 "On Special Economic and Industrial Zones" (hereinafter - the Law).</w:t>
      </w:r>
    </w:p>
    <w:p>
      <w:pPr>
        <w:spacing w:after="0"/>
        <w:ind w:left="0"/>
        <w:jc w:val="both"/>
      </w:pPr>
      <w:r>
        <w:rPr>
          <w:rFonts w:ascii="Times New Roman"/>
          <w:b w:val="false"/>
          <w:i w:val="false"/>
          <w:color w:val="000000"/>
          <w:sz w:val="28"/>
        </w:rPr>
        <w:t>
      2. The feasibility study of the project submitted by an applicant for carrying out activities as a participant in special economic or industrial zones shall be developed in accordance with the legislation of the Republic of Kazakhstan on special economic and industrial zones and these Requirements.</w:t>
      </w:r>
    </w:p>
    <w:p>
      <w:pPr>
        <w:spacing w:after="0"/>
        <w:ind w:left="0"/>
        <w:jc w:val="left"/>
      </w:pPr>
      <w:r>
        <w:rPr>
          <w:rFonts w:ascii="Times New Roman"/>
          <w:b/>
          <w:i w:val="false"/>
          <w:color w:val="000000"/>
        </w:rPr>
        <w:t xml:space="preserve"> Chapter 2. Structure of the feasibility study of a project submitted by an applicant for carrying out activities as a participant in special economic or industrial zones</w:t>
      </w:r>
    </w:p>
    <w:p>
      <w:pPr>
        <w:spacing w:after="0"/>
        <w:ind w:left="0"/>
        <w:jc w:val="both"/>
      </w:pPr>
      <w:r>
        <w:rPr>
          <w:rFonts w:ascii="Times New Roman"/>
          <w:b w:val="false"/>
          <w:i w:val="false"/>
          <w:color w:val="000000"/>
          <w:sz w:val="28"/>
        </w:rPr>
        <w:t>
      3. The structure of the feasibility study of a project submitted by an applicant for carrying out activities as a participant in special economic or industrial zones depends on the direction of the project and contains the following sections:</w:t>
      </w:r>
    </w:p>
    <w:p>
      <w:pPr>
        <w:spacing w:after="0"/>
        <w:ind w:left="0"/>
        <w:jc w:val="both"/>
      </w:pPr>
      <w:r>
        <w:rPr>
          <w:rFonts w:ascii="Times New Roman"/>
          <w:b w:val="false"/>
          <w:i w:val="false"/>
          <w:color w:val="000000"/>
          <w:sz w:val="28"/>
        </w:rPr>
        <w:t>
      1) project introduction;</w:t>
      </w:r>
    </w:p>
    <w:p>
      <w:pPr>
        <w:spacing w:after="0"/>
        <w:ind w:left="0"/>
        <w:jc w:val="both"/>
      </w:pPr>
      <w:r>
        <w:rPr>
          <w:rFonts w:ascii="Times New Roman"/>
          <w:b w:val="false"/>
          <w:i w:val="false"/>
          <w:color w:val="000000"/>
          <w:sz w:val="28"/>
        </w:rPr>
        <w:t>
      2) project summary;</w:t>
      </w:r>
    </w:p>
    <w:p>
      <w:pPr>
        <w:spacing w:after="0"/>
        <w:ind w:left="0"/>
        <w:jc w:val="both"/>
      </w:pPr>
      <w:r>
        <w:rPr>
          <w:rFonts w:ascii="Times New Roman"/>
          <w:b w:val="false"/>
          <w:i w:val="false"/>
          <w:color w:val="000000"/>
          <w:sz w:val="28"/>
        </w:rPr>
        <w:t>
      3) general description of the project;</w:t>
      </w:r>
    </w:p>
    <w:p>
      <w:pPr>
        <w:spacing w:after="0"/>
        <w:ind w:left="0"/>
        <w:jc w:val="both"/>
      </w:pPr>
      <w:r>
        <w:rPr>
          <w:rFonts w:ascii="Times New Roman"/>
          <w:b w:val="false"/>
          <w:i w:val="false"/>
          <w:color w:val="000000"/>
          <w:sz w:val="28"/>
        </w:rPr>
        <w:t>
      4) marketing and sales of products (services);</w:t>
      </w:r>
    </w:p>
    <w:p>
      <w:pPr>
        <w:spacing w:after="0"/>
        <w:ind w:left="0"/>
        <w:jc w:val="both"/>
      </w:pPr>
      <w:r>
        <w:rPr>
          <w:rFonts w:ascii="Times New Roman"/>
          <w:b w:val="false"/>
          <w:i w:val="false"/>
          <w:color w:val="000000"/>
          <w:sz w:val="28"/>
        </w:rPr>
        <w:t>
      5) production plan;</w:t>
      </w:r>
    </w:p>
    <w:p>
      <w:pPr>
        <w:spacing w:after="0"/>
        <w:ind w:left="0"/>
        <w:jc w:val="both"/>
      </w:pPr>
      <w:r>
        <w:rPr>
          <w:rFonts w:ascii="Times New Roman"/>
          <w:b w:val="false"/>
          <w:i w:val="false"/>
          <w:color w:val="000000"/>
          <w:sz w:val="28"/>
        </w:rPr>
        <w:t>
      6) financial and economic section;</w:t>
      </w:r>
    </w:p>
    <w:p>
      <w:pPr>
        <w:spacing w:after="0"/>
        <w:ind w:left="0"/>
        <w:jc w:val="both"/>
      </w:pPr>
      <w:r>
        <w:rPr>
          <w:rFonts w:ascii="Times New Roman"/>
          <w:b w:val="false"/>
          <w:i w:val="false"/>
          <w:color w:val="000000"/>
          <w:sz w:val="28"/>
        </w:rPr>
        <w:t>
      7) appendices.</w:t>
      </w:r>
    </w:p>
    <w:p>
      <w:pPr>
        <w:spacing w:after="0"/>
        <w:ind w:left="0"/>
        <w:jc w:val="both"/>
      </w:pPr>
      <w:r>
        <w:rPr>
          <w:rFonts w:ascii="Times New Roman"/>
          <w:b w:val="false"/>
          <w:i w:val="false"/>
          <w:color w:val="000000"/>
          <w:sz w:val="28"/>
        </w:rPr>
        <w:t>
      4. The section "Project introduction" describes the existing socio-economic, natural-climatic, geographical, engineering-geological conditions in which the implementation of the project of special economic and industrial zones is expected.</w:t>
      </w:r>
    </w:p>
    <w:p>
      <w:pPr>
        <w:spacing w:after="0"/>
        <w:ind w:left="0"/>
        <w:jc w:val="both"/>
      </w:pPr>
      <w:r>
        <w:rPr>
          <w:rFonts w:ascii="Times New Roman"/>
          <w:b w:val="false"/>
          <w:i w:val="false"/>
          <w:color w:val="000000"/>
          <w:sz w:val="28"/>
        </w:rPr>
        <w:t>
      Also, this section indicates the problems, a partial or complete solution of which is possible by creating a project on the territory of special economic and industrial zones.</w:t>
      </w:r>
    </w:p>
    <w:p>
      <w:pPr>
        <w:spacing w:after="0"/>
        <w:ind w:left="0"/>
        <w:jc w:val="both"/>
      </w:pPr>
      <w:r>
        <w:rPr>
          <w:rFonts w:ascii="Times New Roman"/>
          <w:b w:val="false"/>
          <w:i w:val="false"/>
          <w:color w:val="000000"/>
          <w:sz w:val="28"/>
        </w:rPr>
        <w:t>
      5. The section "Project summary" contains a brief description, the effectiveness of the project, the main areas of activity, the scale, including capacity, project components, an action plan, proposed sources and financing schemes, as well as the period of implementation of special economic and industrial zones.</w:t>
      </w:r>
    </w:p>
    <w:p>
      <w:pPr>
        <w:spacing w:after="0"/>
        <w:ind w:left="0"/>
        <w:jc w:val="both"/>
      </w:pPr>
      <w:r>
        <w:rPr>
          <w:rFonts w:ascii="Times New Roman"/>
          <w:b w:val="false"/>
          <w:i w:val="false"/>
          <w:color w:val="000000"/>
          <w:sz w:val="28"/>
        </w:rPr>
        <w:t>
      6. The section "General description of the project" must describe the project and its position in the market, organizational and legal form, main types of activities, achievements, and main financial indicators of the project.</w:t>
      </w:r>
    </w:p>
    <w:p>
      <w:pPr>
        <w:spacing w:after="0"/>
        <w:ind w:left="0"/>
        <w:jc w:val="both"/>
      </w:pPr>
      <w:r>
        <w:rPr>
          <w:rFonts w:ascii="Times New Roman"/>
          <w:b w:val="false"/>
          <w:i w:val="false"/>
          <w:color w:val="000000"/>
          <w:sz w:val="28"/>
        </w:rPr>
        <w:t>
      The general description of the project contains the following information:</w:t>
      </w:r>
    </w:p>
    <w:p>
      <w:pPr>
        <w:spacing w:after="0"/>
        <w:ind w:left="0"/>
        <w:jc w:val="both"/>
      </w:pPr>
      <w:r>
        <w:rPr>
          <w:rFonts w:ascii="Times New Roman"/>
          <w:b w:val="false"/>
          <w:i w:val="false"/>
          <w:color w:val="000000"/>
          <w:sz w:val="28"/>
        </w:rPr>
        <w:t>
      1) name of the product, goods, services;</w:t>
      </w:r>
    </w:p>
    <w:p>
      <w:pPr>
        <w:spacing w:after="0"/>
        <w:ind w:left="0"/>
        <w:jc w:val="both"/>
      </w:pPr>
      <w:r>
        <w:rPr>
          <w:rFonts w:ascii="Times New Roman"/>
          <w:b w:val="false"/>
          <w:i w:val="false"/>
          <w:color w:val="000000"/>
          <w:sz w:val="28"/>
        </w:rPr>
        <w:t>
      2) general information about the applicant (when, where, and by whom established, number of employees, authorized capital, fixed and working capital);</w:t>
      </w:r>
    </w:p>
    <w:p>
      <w:pPr>
        <w:spacing w:after="0"/>
        <w:ind w:left="0"/>
        <w:jc w:val="both"/>
      </w:pPr>
      <w:r>
        <w:rPr>
          <w:rFonts w:ascii="Times New Roman"/>
          <w:b w:val="false"/>
          <w:i w:val="false"/>
          <w:color w:val="000000"/>
          <w:sz w:val="28"/>
        </w:rPr>
        <w:t>
      3) financial and economic indicators (project scope);</w:t>
      </w:r>
    </w:p>
    <w:p>
      <w:pPr>
        <w:spacing w:after="0"/>
        <w:ind w:left="0"/>
        <w:jc w:val="both"/>
      </w:pPr>
      <w:r>
        <w:rPr>
          <w:rFonts w:ascii="Times New Roman"/>
          <w:b w:val="false"/>
          <w:i w:val="false"/>
          <w:color w:val="000000"/>
          <w:sz w:val="28"/>
        </w:rPr>
        <w:t>
      4) management structure;</w:t>
      </w:r>
    </w:p>
    <w:p>
      <w:pPr>
        <w:spacing w:after="0"/>
        <w:ind w:left="0"/>
        <w:jc w:val="both"/>
      </w:pPr>
      <w:r>
        <w:rPr>
          <w:rFonts w:ascii="Times New Roman"/>
          <w:b w:val="false"/>
          <w:i w:val="false"/>
          <w:color w:val="000000"/>
          <w:sz w:val="28"/>
        </w:rPr>
        <w:t>
      5) personnel (qualifications and experience of the management team and leading specialists, personnel requirements and education);</w:t>
      </w:r>
    </w:p>
    <w:p>
      <w:pPr>
        <w:spacing w:after="0"/>
        <w:ind w:left="0"/>
        <w:jc w:val="both"/>
      </w:pPr>
      <w:r>
        <w:rPr>
          <w:rFonts w:ascii="Times New Roman"/>
          <w:b w:val="false"/>
          <w:i w:val="false"/>
          <w:color w:val="000000"/>
          <w:sz w:val="28"/>
        </w:rPr>
        <w:t>
      6) occupational health and safety standards;</w:t>
      </w:r>
    </w:p>
    <w:p>
      <w:pPr>
        <w:spacing w:after="0"/>
        <w:ind w:left="0"/>
        <w:jc w:val="both"/>
      </w:pPr>
      <w:r>
        <w:rPr>
          <w:rFonts w:ascii="Times New Roman"/>
          <w:b w:val="false"/>
          <w:i w:val="false"/>
          <w:color w:val="000000"/>
          <w:sz w:val="28"/>
        </w:rPr>
        <w:t>
      7) areas of activity;</w:t>
      </w:r>
    </w:p>
    <w:p>
      <w:pPr>
        <w:spacing w:after="0"/>
        <w:ind w:left="0"/>
        <w:jc w:val="both"/>
      </w:pPr>
      <w:r>
        <w:rPr>
          <w:rFonts w:ascii="Times New Roman"/>
          <w:b w:val="false"/>
          <w:i w:val="false"/>
          <w:color w:val="000000"/>
          <w:sz w:val="28"/>
        </w:rPr>
        <w:t>
      8) economic sector and its prospects;</w:t>
      </w:r>
    </w:p>
    <w:p>
      <w:pPr>
        <w:spacing w:after="0"/>
        <w:ind w:left="0"/>
        <w:jc w:val="both"/>
      </w:pPr>
      <w:r>
        <w:rPr>
          <w:rFonts w:ascii="Times New Roman"/>
          <w:b w:val="false"/>
          <w:i w:val="false"/>
          <w:color w:val="000000"/>
          <w:sz w:val="28"/>
        </w:rPr>
        <w:t>
      9) contribution to the development of the region, public and social activity (role in the regional economy, participation in solving regional problems, sponsorship and charity, participation in public associations);</w:t>
      </w:r>
    </w:p>
    <w:p>
      <w:pPr>
        <w:spacing w:after="0"/>
        <w:ind w:left="0"/>
        <w:jc w:val="both"/>
      </w:pPr>
      <w:r>
        <w:rPr>
          <w:rFonts w:ascii="Times New Roman"/>
          <w:b w:val="false"/>
          <w:i w:val="false"/>
          <w:color w:val="000000"/>
          <w:sz w:val="28"/>
        </w:rPr>
        <w:t>
      10) export potential or import substitution;</w:t>
      </w:r>
    </w:p>
    <w:p>
      <w:pPr>
        <w:spacing w:after="0"/>
        <w:ind w:left="0"/>
        <w:jc w:val="both"/>
      </w:pPr>
      <w:r>
        <w:rPr>
          <w:rFonts w:ascii="Times New Roman"/>
          <w:b w:val="false"/>
          <w:i w:val="false"/>
          <w:color w:val="000000"/>
          <w:sz w:val="28"/>
        </w:rPr>
        <w:t>
      11) competitiveness of products (services);</w:t>
      </w:r>
    </w:p>
    <w:p>
      <w:pPr>
        <w:spacing w:after="0"/>
        <w:ind w:left="0"/>
        <w:jc w:val="both"/>
      </w:pPr>
      <w:r>
        <w:rPr>
          <w:rFonts w:ascii="Times New Roman"/>
          <w:b w:val="false"/>
          <w:i w:val="false"/>
          <w:color w:val="000000"/>
          <w:sz w:val="28"/>
        </w:rPr>
        <w:t>
      12) degree of readiness (scientific and technical documentation, layout);</w:t>
      </w:r>
    </w:p>
    <w:p>
      <w:pPr>
        <w:spacing w:after="0"/>
        <w:ind w:left="0"/>
        <w:jc w:val="both"/>
      </w:pPr>
      <w:r>
        <w:rPr>
          <w:rFonts w:ascii="Times New Roman"/>
          <w:b w:val="false"/>
          <w:i w:val="false"/>
          <w:color w:val="000000"/>
          <w:sz w:val="28"/>
        </w:rPr>
        <w:t>
      13) patentability and copyright;</w:t>
      </w:r>
    </w:p>
    <w:p>
      <w:pPr>
        <w:spacing w:after="0"/>
        <w:ind w:left="0"/>
        <w:jc w:val="both"/>
      </w:pPr>
      <w:r>
        <w:rPr>
          <w:rFonts w:ascii="Times New Roman"/>
          <w:b w:val="false"/>
          <w:i w:val="false"/>
          <w:color w:val="000000"/>
          <w:sz w:val="28"/>
        </w:rPr>
        <w:t>
      14) availability and necessity of a license and quality certificate;</w:t>
      </w:r>
    </w:p>
    <w:p>
      <w:pPr>
        <w:spacing w:after="0"/>
        <w:ind w:left="0"/>
        <w:jc w:val="both"/>
      </w:pPr>
      <w:r>
        <w:rPr>
          <w:rFonts w:ascii="Times New Roman"/>
          <w:b w:val="false"/>
          <w:i w:val="false"/>
          <w:color w:val="000000"/>
          <w:sz w:val="28"/>
        </w:rPr>
        <w:t>
      15) safety and environmental friendliness.</w:t>
      </w:r>
    </w:p>
    <w:p>
      <w:pPr>
        <w:spacing w:after="0"/>
        <w:ind w:left="0"/>
        <w:jc w:val="both"/>
      </w:pPr>
      <w:r>
        <w:rPr>
          <w:rFonts w:ascii="Times New Roman"/>
          <w:b w:val="false"/>
          <w:i w:val="false"/>
          <w:color w:val="000000"/>
          <w:sz w:val="28"/>
        </w:rPr>
        <w:t xml:space="preserve">
      The section "Marketing and sales of products (services)" reflects an assessment of the existing and prospective (for the period of development and operation of the project in the territories of special economic and industrial zones) demand for the types of products (services) that will be produced (provided) as a result of implementation of the project in the territories of special economic or industrial zones. </w:t>
      </w:r>
    </w:p>
    <w:p>
      <w:pPr>
        <w:spacing w:after="0"/>
        <w:ind w:left="0"/>
        <w:jc w:val="both"/>
      </w:pPr>
      <w:r>
        <w:rPr>
          <w:rFonts w:ascii="Times New Roman"/>
          <w:b w:val="false"/>
          <w:i w:val="false"/>
          <w:color w:val="000000"/>
          <w:sz w:val="28"/>
        </w:rPr>
        <w:t>
      This section must include a marketing analysis (characteristics of the market, consumers of products), a marketing plan (strategy for promoting products to the market - pricing policy, advertising, sales system, after-sales service, sales volumes), a description of the goods and services offered by the production, the possibilities of their use, compliance with standards, their attractive aspects, and product analysis.</w:t>
      </w:r>
    </w:p>
    <w:p>
      <w:pPr>
        <w:spacing w:after="0"/>
        <w:ind w:left="0"/>
        <w:jc w:val="both"/>
      </w:pPr>
      <w:r>
        <w:rPr>
          <w:rFonts w:ascii="Times New Roman"/>
          <w:b w:val="false"/>
          <w:i w:val="false"/>
          <w:color w:val="000000"/>
          <w:sz w:val="28"/>
        </w:rPr>
        <w:t xml:space="preserve">
      8. The section "Production plan" contains a description of the technological process and reflects the general approach to organizing the project, indicating sources of raw materials and supplies, technological equipment (name and main characteristics), project needs for premises, communications, energy sources, requirements for labor resources (personnel, terms of payment and incentives, working conditions, structure and composition of departments, personnel training, expected changes in the personnel structure as the project develops). </w:t>
      </w:r>
    </w:p>
    <w:p>
      <w:pPr>
        <w:spacing w:after="0"/>
        <w:ind w:left="0"/>
        <w:jc w:val="both"/>
      </w:pPr>
      <w:r>
        <w:rPr>
          <w:rFonts w:ascii="Times New Roman"/>
          <w:b w:val="false"/>
          <w:i w:val="false"/>
          <w:color w:val="000000"/>
          <w:sz w:val="28"/>
        </w:rPr>
        <w:t>
      9. "Financial and Economic section" contains an assessment of financial costs and income, along with an assessment of alternative schemes and sources of financing, an analysis of project creation, a cash flow statement, a profit and loss statement, project performance indicators in the territories of special economic and industrial zones from the point of view of the republic (region) economy as a whole.</w:t>
      </w:r>
    </w:p>
    <w:p>
      <w:pPr>
        <w:spacing w:after="0"/>
        <w:ind w:left="0"/>
        <w:jc w:val="both"/>
      </w:pPr>
      <w:r>
        <w:rPr>
          <w:rFonts w:ascii="Times New Roman"/>
          <w:b w:val="false"/>
          <w:i w:val="false"/>
          <w:color w:val="000000"/>
          <w:sz w:val="28"/>
        </w:rPr>
        <w:t>
      This sections shall include:</w:t>
      </w:r>
    </w:p>
    <w:p>
      <w:pPr>
        <w:spacing w:after="0"/>
        <w:ind w:left="0"/>
        <w:jc w:val="both"/>
      </w:pPr>
      <w:r>
        <w:rPr>
          <w:rFonts w:ascii="Times New Roman"/>
          <w:b w:val="false"/>
          <w:i w:val="false"/>
          <w:color w:val="000000"/>
          <w:sz w:val="28"/>
        </w:rPr>
        <w:t>
      1) an assessment of the expected costs of creating the project, including the costs of building infrastructure facilities;</w:t>
      </w:r>
    </w:p>
    <w:p>
      <w:pPr>
        <w:spacing w:after="0"/>
        <w:ind w:left="0"/>
        <w:jc w:val="both"/>
      </w:pPr>
      <w:r>
        <w:rPr>
          <w:rFonts w:ascii="Times New Roman"/>
          <w:b w:val="false"/>
          <w:i w:val="false"/>
          <w:color w:val="000000"/>
          <w:sz w:val="28"/>
        </w:rPr>
        <w:t>
      2) calculation of total investment costs, distribution of financing needs;</w:t>
      </w:r>
    </w:p>
    <w:p>
      <w:pPr>
        <w:spacing w:after="0"/>
        <w:ind w:left="0"/>
        <w:jc w:val="both"/>
      </w:pPr>
      <w:r>
        <w:rPr>
          <w:rFonts w:ascii="Times New Roman"/>
          <w:b w:val="false"/>
          <w:i w:val="false"/>
          <w:color w:val="000000"/>
          <w:sz w:val="28"/>
        </w:rPr>
        <w:t>
      3) calculation of production costs (operating costs);</w:t>
      </w:r>
    </w:p>
    <w:p>
      <w:pPr>
        <w:spacing w:after="0"/>
        <w:ind w:left="0"/>
        <w:jc w:val="both"/>
      </w:pPr>
      <w:r>
        <w:rPr>
          <w:rFonts w:ascii="Times New Roman"/>
          <w:b w:val="false"/>
          <w:i w:val="false"/>
          <w:color w:val="000000"/>
          <w:sz w:val="28"/>
        </w:rPr>
        <w:t>
      4) financial analysis of the project, including;</w:t>
      </w:r>
    </w:p>
    <w:p>
      <w:pPr>
        <w:spacing w:after="0"/>
        <w:ind w:left="0"/>
        <w:jc w:val="both"/>
      </w:pPr>
      <w:r>
        <w:rPr>
          <w:rFonts w:ascii="Times New Roman"/>
          <w:b w:val="false"/>
          <w:i w:val="false"/>
          <w:color w:val="000000"/>
          <w:sz w:val="28"/>
        </w:rPr>
        <w:t>
      analysis of the project, carried out using simple financial assessment methods, including calculation of the payback period, simple rate of return, debt coverage ratio;</w:t>
      </w:r>
    </w:p>
    <w:p>
      <w:pPr>
        <w:spacing w:after="0"/>
        <w:ind w:left="0"/>
        <w:jc w:val="both"/>
      </w:pPr>
      <w:r>
        <w:rPr>
          <w:rFonts w:ascii="Times New Roman"/>
          <w:b w:val="false"/>
          <w:i w:val="false"/>
          <w:color w:val="000000"/>
          <w:sz w:val="28"/>
        </w:rPr>
        <w:t>
      analysis of the scheme, sources, terms of financing and their alternatives;</w:t>
      </w:r>
    </w:p>
    <w:p>
      <w:pPr>
        <w:spacing w:after="0"/>
        <w:ind w:left="0"/>
        <w:jc w:val="both"/>
      </w:pPr>
      <w:r>
        <w:rPr>
          <w:rFonts w:ascii="Times New Roman"/>
          <w:b w:val="false"/>
          <w:i w:val="false"/>
          <w:color w:val="000000"/>
          <w:sz w:val="28"/>
        </w:rPr>
        <w:t>
      assessment of financial risks, determining the main risk factors, the expected nature and range of changes, expected measures to reduce risks.</w:t>
      </w:r>
    </w:p>
    <w:p>
      <w:pPr>
        <w:spacing w:after="0"/>
        <w:ind w:left="0"/>
        <w:jc w:val="both"/>
      </w:pPr>
      <w:r>
        <w:rPr>
          <w:rFonts w:ascii="Times New Roman"/>
          <w:b w:val="false"/>
          <w:i w:val="false"/>
          <w:color w:val="000000"/>
          <w:sz w:val="28"/>
        </w:rPr>
        <w:t>
      5) project risk analysis;</w:t>
      </w:r>
    </w:p>
    <w:p>
      <w:pPr>
        <w:spacing w:after="0"/>
        <w:ind w:left="0"/>
        <w:jc w:val="both"/>
      </w:pPr>
      <w:r>
        <w:rPr>
          <w:rFonts w:ascii="Times New Roman"/>
          <w:b w:val="false"/>
          <w:i w:val="false"/>
          <w:color w:val="000000"/>
          <w:sz w:val="28"/>
        </w:rPr>
        <w:t>
      6) analysis of the economic situation of the project in and outside the territories of special economic and industrial zones;</w:t>
      </w:r>
    </w:p>
    <w:p>
      <w:pPr>
        <w:spacing w:after="0"/>
        <w:ind w:left="0"/>
        <w:jc w:val="both"/>
      </w:pPr>
      <w:r>
        <w:rPr>
          <w:rFonts w:ascii="Times New Roman"/>
          <w:b w:val="false"/>
          <w:i w:val="false"/>
          <w:color w:val="000000"/>
          <w:sz w:val="28"/>
        </w:rPr>
        <w:t>
      7) an assessment of economic benefits and costs, including analysis of results, consequences and impact, cost-effectiveness analysis and immeasurable benefits, incremental benefits and costs, additional consumer benefits, sunk costs, external effects, international effects, indirect benefits.</w:t>
      </w:r>
    </w:p>
    <w:p>
      <w:pPr>
        <w:spacing w:after="0"/>
        <w:ind w:left="0"/>
        <w:jc w:val="both"/>
      </w:pPr>
      <w:r>
        <w:rPr>
          <w:rFonts w:ascii="Times New Roman"/>
          <w:b w:val="false"/>
          <w:i w:val="false"/>
          <w:color w:val="000000"/>
          <w:sz w:val="28"/>
        </w:rPr>
        <w:t>
      10. The "Appendices" section of the project in the territories of special economic and industrial zones may include additional data in the form of detailed expense tables, marketing research results, auditors' reports, photographs of product samples, payback graphs and other materials, documents confirming and disclosing the information provided in the feasibility study of the project.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