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7cff" w14:textId="4367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healthcare technology assessment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No. KR DCM85 as of May 22, 2019. Registered with the Ministry of Justice of the Republic of Kazakhstan on May 23, 2019, No. 18717. Abolished by the Order of the Minister of Health of the Republic of Kazakhstan dated November 30, 2020 No. KR DSM-215/2020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November 30, 2020 No. KR DSM-215/2020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2</w:t>
      </w:r>
      <w:r>
        <w:rPr>
          <w:rFonts w:ascii="Times New Roman"/>
          <w:b w:val="false"/>
          <w:i w:val="false"/>
          <w:color w:val="000000"/>
          <w:sz w:val="28"/>
        </w:rPr>
        <w:t xml:space="preserve"> of Article 64-1 of the Code of the Republic of Kazakhstan “On Public Health and the Healthcare System” as of September 18, 2009, I hereby ORDER: </w:t>
      </w:r>
    </w:p>
    <w:bookmarkStart w:name="z3" w:id="0"/>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Rules</w:t>
      </w:r>
      <w:r>
        <w:rPr>
          <w:rFonts w:ascii="Times New Roman"/>
          <w:b w:val="false"/>
          <w:i w:val="false"/>
          <w:color w:val="000000"/>
          <w:sz w:val="28"/>
        </w:rPr>
        <w:t xml:space="preserve"> for healthcare technology assessment. </w:t>
      </w:r>
    </w:p>
    <w:bookmarkEnd w:id="0"/>
    <w:bookmarkStart w:name="z4" w:id="1"/>
    <w:p>
      <w:pPr>
        <w:spacing w:after="0"/>
        <w:ind w:left="0"/>
        <w:jc w:val="both"/>
      </w:pPr>
      <w:r>
        <w:rPr>
          <w:rFonts w:ascii="Times New Roman"/>
          <w:b w:val="false"/>
          <w:i w:val="false"/>
          <w:color w:val="000000"/>
          <w:sz w:val="28"/>
        </w:rPr>
        <w:t>
      2. In accordance with the procedure established by the legislation of the Republic of Kazakhstan, the Medical Care Department of the Ministry of Healthcare of the Republic of Kazakhstan shall:</w:t>
      </w:r>
    </w:p>
    <w:bookmarkEnd w:id="1"/>
    <w:bookmarkStart w:name="z5"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xml:space="preserve">
      2) within ten calendar days of the state registration of this order, send its copy in Kazakh and Russian in paper-based and electronic forms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3"/>
    <w:bookmarkStart w:name="z7" w:id="4"/>
    <w:p>
      <w:pPr>
        <w:spacing w:after="0"/>
        <w:ind w:left="0"/>
        <w:jc w:val="both"/>
      </w:pPr>
      <w:r>
        <w:rPr>
          <w:rFonts w:ascii="Times New Roman"/>
          <w:b w:val="false"/>
          <w:i w:val="false"/>
          <w:color w:val="000000"/>
          <w:sz w:val="28"/>
        </w:rPr>
        <w:t>
      3) place this order on the website of the Ministry of Healthcare of the Republic of Kazakhstan after its official publication;</w:t>
      </w:r>
    </w:p>
    <w:bookmarkEnd w:id="4"/>
    <w:bookmarkStart w:name="z8" w:id="5"/>
    <w:p>
      <w:pPr>
        <w:spacing w:after="0"/>
        <w:ind w:left="0"/>
        <w:jc w:val="both"/>
      </w:pPr>
      <w:r>
        <w:rPr>
          <w:rFonts w:ascii="Times New Roman"/>
          <w:b w:val="false"/>
          <w:i w:val="false"/>
          <w:color w:val="000000"/>
          <w:sz w:val="28"/>
        </w:rPr>
        <w:t>
      4) within ten working days of the state registration of this order, submit information about the implementation of measures, provided for in subparagraphs 1), 2) and 3) of this paragraph, to the Legal Department of the Ministry of Healthcare of the Republic of Kazakhstan.</w:t>
      </w:r>
    </w:p>
    <w:bookmarkEnd w:id="5"/>
    <w:bookmarkStart w:name="z9" w:id="6"/>
    <w:p>
      <w:pPr>
        <w:spacing w:after="0"/>
        <w:ind w:left="0"/>
        <w:jc w:val="both"/>
      </w:pPr>
      <w:r>
        <w:rPr>
          <w:rFonts w:ascii="Times New Roman"/>
          <w:b w:val="false"/>
          <w:i w:val="false"/>
          <w:color w:val="000000"/>
          <w:sz w:val="28"/>
        </w:rPr>
        <w:t>
      3. The control over the execution of this order shall be assigned to the supervising deputy minister of healthcare of the Republic of Kazakhstan.</w:t>
      </w:r>
    </w:p>
    <w:bookmarkEnd w:id="6"/>
    <w:bookmarkStart w:name="z10" w:id="7"/>
    <w:p>
      <w:pPr>
        <w:spacing w:after="0"/>
        <w:ind w:left="0"/>
        <w:jc w:val="both"/>
      </w:pPr>
      <w:r>
        <w:rPr>
          <w:rFonts w:ascii="Times New Roman"/>
          <w:b w:val="false"/>
          <w:i w:val="false"/>
          <w:color w:val="000000"/>
          <w:sz w:val="28"/>
        </w:rPr>
        <w:t xml:space="preserve">
      4. This order shall take effect ten calendar days of its first official publication.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KR DCM-85 as of May 22, 2019 of the acting Minister of Healthcare of the Republic of Kazakhstan</w:t>
            </w:r>
          </w:p>
        </w:tc>
      </w:tr>
    </w:tbl>
    <w:bookmarkStart w:name="z12" w:id="8"/>
    <w:p>
      <w:pPr>
        <w:spacing w:after="0"/>
        <w:ind w:left="0"/>
        <w:jc w:val="left"/>
      </w:pPr>
      <w:r>
        <w:rPr>
          <w:rFonts w:ascii="Times New Roman"/>
          <w:b/>
          <w:i w:val="false"/>
          <w:color w:val="000000"/>
        </w:rPr>
        <w:t xml:space="preserve"> Rules for healthcare technology assessment </w:t>
      </w:r>
    </w:p>
    <w:bookmarkEnd w:id="8"/>
    <w:bookmarkStart w:name="z13" w:id="9"/>
    <w:p>
      <w:pPr>
        <w:spacing w:after="0"/>
        <w:ind w:left="0"/>
        <w:jc w:val="left"/>
      </w:pPr>
      <w:r>
        <w:rPr>
          <w:rFonts w:ascii="Times New Roman"/>
          <w:b/>
          <w:i w:val="false"/>
          <w:color w:val="000000"/>
        </w:rPr>
        <w:t xml:space="preserve"> Chapter 1. General provisions</w:t>
      </w:r>
    </w:p>
    <w:bookmarkEnd w:id="9"/>
    <w:bookmarkStart w:name="z14" w:id="10"/>
    <w:p>
      <w:pPr>
        <w:spacing w:after="0"/>
        <w:ind w:left="0"/>
        <w:jc w:val="both"/>
      </w:pPr>
      <w:r>
        <w:rPr>
          <w:rFonts w:ascii="Times New Roman"/>
          <w:b w:val="false"/>
          <w:i w:val="false"/>
          <w:color w:val="000000"/>
          <w:sz w:val="28"/>
        </w:rPr>
        <w:t xml:space="preserve">
      1. These Rules for healthcare technology assessment (hereinafter referred to as the Rules) are developed in accordance with </w:t>
      </w:r>
      <w:r>
        <w:rPr>
          <w:rFonts w:ascii="Times New Roman"/>
          <w:b w:val="false"/>
          <w:i w:val="false"/>
          <w:color w:val="000000"/>
          <w:sz w:val="28"/>
        </w:rPr>
        <w:t>paragraph 2</w:t>
      </w:r>
      <w:r>
        <w:rPr>
          <w:rFonts w:ascii="Times New Roman"/>
          <w:b w:val="false"/>
          <w:i w:val="false"/>
          <w:color w:val="000000"/>
          <w:sz w:val="28"/>
        </w:rPr>
        <w:t xml:space="preserve"> of Article 64-1 of the Code of the Republic of Kazakhstan “On Public Health and the Healthcare System” as of September 18, 2009  (hereinafter referred to as the Code) to regulate relations connected with the assessment of healthcare technologies in the Republic of Kazakhstan, including the stages of filing an application, its consideration and making a decision to assess healthcare technology, which will scientifically substantiate the adoption of a decision to introduce and use, and (or) to inhibit the use of healthcare technology.</w:t>
      </w:r>
    </w:p>
    <w:bookmarkEnd w:id="10"/>
    <w:bookmarkStart w:name="z15" w:id="11"/>
    <w:p>
      <w:pPr>
        <w:spacing w:after="0"/>
        <w:ind w:left="0"/>
        <w:jc w:val="both"/>
      </w:pPr>
      <w:r>
        <w:rPr>
          <w:rFonts w:ascii="Times New Roman"/>
          <w:b w:val="false"/>
          <w:i w:val="false"/>
          <w:color w:val="000000"/>
          <w:sz w:val="28"/>
        </w:rPr>
        <w:t xml:space="preserve">
      2. The following terms are used in the Rules: </w:t>
      </w:r>
    </w:p>
    <w:bookmarkEnd w:id="11"/>
    <w:bookmarkStart w:name="z16" w:id="12"/>
    <w:p>
      <w:pPr>
        <w:spacing w:after="0"/>
        <w:ind w:left="0"/>
        <w:jc w:val="both"/>
      </w:pPr>
      <w:r>
        <w:rPr>
          <w:rFonts w:ascii="Times New Roman"/>
          <w:b w:val="false"/>
          <w:i w:val="false"/>
          <w:color w:val="000000"/>
          <w:sz w:val="28"/>
        </w:rPr>
        <w:t xml:space="preserve">
      1) a healthcare organization - a legal entity operating in the field of healthcare; </w:t>
      </w:r>
    </w:p>
    <w:bookmarkEnd w:id="12"/>
    <w:bookmarkStart w:name="z17" w:id="13"/>
    <w:p>
      <w:pPr>
        <w:spacing w:after="0"/>
        <w:ind w:left="0"/>
        <w:jc w:val="both"/>
      </w:pPr>
      <w:r>
        <w:rPr>
          <w:rFonts w:ascii="Times New Roman"/>
          <w:b w:val="false"/>
          <w:i w:val="false"/>
          <w:color w:val="000000"/>
          <w:sz w:val="28"/>
        </w:rPr>
        <w:t xml:space="preserve">
      2) the authorized body for healthcare (hereinafter referred to as the authorized body) - the central executive body exercising the leadership and intersectoral coordination in the field of public health, medical and pharmaceutical science, medical and pharmaceutical education, sanitary and epidemiological welfare of the population, turnover of pharmaceuticals and medical devices, quality control of medical services; </w:t>
      </w:r>
    </w:p>
    <w:bookmarkEnd w:id="13"/>
    <w:bookmarkStart w:name="z18" w:id="14"/>
    <w:p>
      <w:pPr>
        <w:spacing w:after="0"/>
        <w:ind w:left="0"/>
        <w:jc w:val="both"/>
      </w:pPr>
      <w:r>
        <w:rPr>
          <w:rFonts w:ascii="Times New Roman"/>
          <w:b w:val="false"/>
          <w:i w:val="false"/>
          <w:color w:val="000000"/>
          <w:sz w:val="28"/>
        </w:rPr>
        <w:t xml:space="preserve">
      3) healthcare technology assessment (hereinafter referred to as the HTA) - comprehensive assessment of the comparative proven clinical and clinical-economic (pharmacoeconomic) effectiveness and safety of healthcare technologies, as well as economic, social and ethical implications of their use; </w:t>
      </w:r>
    </w:p>
    <w:bookmarkEnd w:id="14"/>
    <w:bookmarkStart w:name="z19" w:id="15"/>
    <w:p>
      <w:pPr>
        <w:spacing w:after="0"/>
        <w:ind w:left="0"/>
        <w:jc w:val="both"/>
      </w:pPr>
      <w:r>
        <w:rPr>
          <w:rFonts w:ascii="Times New Roman"/>
          <w:b w:val="false"/>
          <w:i w:val="false"/>
          <w:color w:val="000000"/>
          <w:sz w:val="28"/>
        </w:rPr>
        <w:t>
      3. The HTA objects are healthcare technologies proposed for entering in (removal from) the lists of compensation within the guaranteed volume of free medical care (hereinafter referred to as the GVFMC) or in the system of compulsory social health insurance (hereinafter referred to as the CSHI).</w:t>
      </w:r>
    </w:p>
    <w:bookmarkEnd w:id="15"/>
    <w:bookmarkStart w:name="z20" w:id="16"/>
    <w:p>
      <w:pPr>
        <w:spacing w:after="0"/>
        <w:ind w:left="0"/>
        <w:jc w:val="both"/>
      </w:pPr>
      <w:r>
        <w:rPr>
          <w:rFonts w:ascii="Times New Roman"/>
          <w:b w:val="false"/>
          <w:i w:val="false"/>
          <w:color w:val="000000"/>
          <w:sz w:val="28"/>
        </w:rPr>
        <w:t xml:space="preserve">
      4. The HTA working body is an organization subordinate to the authorized body, which organizes and implements HTA (hereinafter referred to as the working body). </w:t>
      </w:r>
    </w:p>
    <w:bookmarkEnd w:id="16"/>
    <w:bookmarkStart w:name="z21" w:id="17"/>
    <w:p>
      <w:pPr>
        <w:spacing w:after="0"/>
        <w:ind w:left="0"/>
        <w:jc w:val="left"/>
      </w:pPr>
      <w:r>
        <w:rPr>
          <w:rFonts w:ascii="Times New Roman"/>
          <w:b/>
          <w:i w:val="false"/>
          <w:color w:val="000000"/>
        </w:rPr>
        <w:t xml:space="preserve"> Chapter 2. HTA procedure </w:t>
      </w:r>
    </w:p>
    <w:bookmarkEnd w:id="17"/>
    <w:bookmarkStart w:name="z22" w:id="18"/>
    <w:p>
      <w:pPr>
        <w:spacing w:after="0"/>
        <w:ind w:left="0"/>
        <w:jc w:val="both"/>
      </w:pPr>
      <w:r>
        <w:rPr>
          <w:rFonts w:ascii="Times New Roman"/>
          <w:b w:val="false"/>
          <w:i w:val="false"/>
          <w:color w:val="000000"/>
          <w:sz w:val="28"/>
        </w:rPr>
        <w:t>
      5. The HTA main objectives are as follows: assessment of the clinical and clinical-economic effectiveness and safety of healthcare technologies, as well as economic, social and ethical implications of their use for the healthcare system.</w:t>
      </w:r>
    </w:p>
    <w:bookmarkEnd w:id="18"/>
    <w:bookmarkStart w:name="z23" w:id="19"/>
    <w:p>
      <w:pPr>
        <w:spacing w:after="0"/>
        <w:ind w:left="0"/>
        <w:jc w:val="both"/>
      </w:pPr>
      <w:r>
        <w:rPr>
          <w:rFonts w:ascii="Times New Roman"/>
          <w:b w:val="false"/>
          <w:i w:val="false"/>
          <w:color w:val="000000"/>
          <w:sz w:val="28"/>
        </w:rPr>
        <w:t xml:space="preserve">
      6. A HTA requester (hereinafter referred to as the applicant) can be either: </w:t>
      </w:r>
    </w:p>
    <w:bookmarkEnd w:id="19"/>
    <w:bookmarkStart w:name="z24" w:id="20"/>
    <w:p>
      <w:pPr>
        <w:spacing w:after="0"/>
        <w:ind w:left="0"/>
        <w:jc w:val="both"/>
      </w:pPr>
      <w:r>
        <w:rPr>
          <w:rFonts w:ascii="Times New Roman"/>
          <w:b w:val="false"/>
          <w:i w:val="false"/>
          <w:color w:val="000000"/>
          <w:sz w:val="28"/>
        </w:rPr>
        <w:t>
      1) the authorized body, or</w:t>
      </w:r>
    </w:p>
    <w:bookmarkEnd w:id="20"/>
    <w:bookmarkStart w:name="z25" w:id="21"/>
    <w:p>
      <w:pPr>
        <w:spacing w:after="0"/>
        <w:ind w:left="0"/>
        <w:jc w:val="both"/>
      </w:pPr>
      <w:r>
        <w:rPr>
          <w:rFonts w:ascii="Times New Roman"/>
          <w:b w:val="false"/>
          <w:i w:val="false"/>
          <w:color w:val="000000"/>
          <w:sz w:val="28"/>
        </w:rPr>
        <w:t>
      2) CSHI fund, or</w:t>
      </w:r>
    </w:p>
    <w:bookmarkEnd w:id="21"/>
    <w:bookmarkStart w:name="z26" w:id="22"/>
    <w:p>
      <w:pPr>
        <w:spacing w:after="0"/>
        <w:ind w:left="0"/>
        <w:jc w:val="both"/>
      </w:pPr>
      <w:r>
        <w:rPr>
          <w:rFonts w:ascii="Times New Roman"/>
          <w:b w:val="false"/>
          <w:i w:val="false"/>
          <w:color w:val="000000"/>
          <w:sz w:val="28"/>
        </w:rPr>
        <w:t>
      3) healthcare entities, or</w:t>
      </w:r>
    </w:p>
    <w:bookmarkEnd w:id="22"/>
    <w:bookmarkStart w:name="z27" w:id="23"/>
    <w:p>
      <w:pPr>
        <w:spacing w:after="0"/>
        <w:ind w:left="0"/>
        <w:jc w:val="both"/>
      </w:pPr>
      <w:r>
        <w:rPr>
          <w:rFonts w:ascii="Times New Roman"/>
          <w:b w:val="false"/>
          <w:i w:val="false"/>
          <w:color w:val="000000"/>
          <w:sz w:val="28"/>
        </w:rPr>
        <w:t xml:space="preserve">
      4) entities in the field of turnover of pharmaceuticals and medical devices, or  </w:t>
      </w:r>
    </w:p>
    <w:bookmarkEnd w:id="23"/>
    <w:bookmarkStart w:name="z28" w:id="24"/>
    <w:p>
      <w:pPr>
        <w:spacing w:after="0"/>
        <w:ind w:left="0"/>
        <w:jc w:val="both"/>
      </w:pPr>
      <w:r>
        <w:rPr>
          <w:rFonts w:ascii="Times New Roman"/>
          <w:b w:val="false"/>
          <w:i w:val="false"/>
          <w:color w:val="000000"/>
          <w:sz w:val="28"/>
        </w:rPr>
        <w:t xml:space="preserve">
      5) professional associations in the fields of healthcare and turnover of pharmaceuticals and medical devices. </w:t>
      </w:r>
    </w:p>
    <w:bookmarkEnd w:id="24"/>
    <w:bookmarkStart w:name="z29" w:id="25"/>
    <w:p>
      <w:pPr>
        <w:spacing w:after="0"/>
        <w:ind w:left="0"/>
        <w:jc w:val="both"/>
      </w:pPr>
      <w:r>
        <w:rPr>
          <w:rFonts w:ascii="Times New Roman"/>
          <w:b w:val="false"/>
          <w:i w:val="false"/>
          <w:color w:val="000000"/>
          <w:sz w:val="28"/>
        </w:rPr>
        <w:t xml:space="preserve">
      7. HTA is carried out at the national and regional levels, as well as at the level of healthcare organization to identify priority technologies. </w:t>
      </w:r>
    </w:p>
    <w:bookmarkEnd w:id="25"/>
    <w:bookmarkStart w:name="z30" w:id="26"/>
    <w:p>
      <w:pPr>
        <w:spacing w:after="0"/>
        <w:ind w:left="0"/>
        <w:jc w:val="both"/>
      </w:pPr>
      <w:r>
        <w:rPr>
          <w:rFonts w:ascii="Times New Roman"/>
          <w:b w:val="false"/>
          <w:i w:val="false"/>
          <w:color w:val="000000"/>
          <w:sz w:val="28"/>
        </w:rPr>
        <w:t>
      8. The main objectives of identifying priority technologies for HTA are as follows:</w:t>
      </w:r>
    </w:p>
    <w:bookmarkEnd w:id="26"/>
    <w:bookmarkStart w:name="z31" w:id="27"/>
    <w:p>
      <w:pPr>
        <w:spacing w:after="0"/>
        <w:ind w:left="0"/>
        <w:jc w:val="both"/>
      </w:pPr>
      <w:r>
        <w:rPr>
          <w:rFonts w:ascii="Times New Roman"/>
          <w:b w:val="false"/>
          <w:i w:val="false"/>
          <w:color w:val="000000"/>
          <w:sz w:val="28"/>
        </w:rPr>
        <w:t xml:space="preserve">
      1) the HTA shall meet the needs of the healthcare system; </w:t>
      </w:r>
    </w:p>
    <w:bookmarkEnd w:id="27"/>
    <w:bookmarkStart w:name="z32" w:id="28"/>
    <w:p>
      <w:pPr>
        <w:spacing w:after="0"/>
        <w:ind w:left="0"/>
        <w:jc w:val="both"/>
      </w:pPr>
      <w:r>
        <w:rPr>
          <w:rFonts w:ascii="Times New Roman"/>
          <w:b w:val="false"/>
          <w:i w:val="false"/>
          <w:color w:val="000000"/>
          <w:sz w:val="28"/>
        </w:rPr>
        <w:t xml:space="preserve">
      2) efficient use of budgetary funds and assets of the social health insurance fund; </w:t>
      </w:r>
    </w:p>
    <w:bookmarkEnd w:id="28"/>
    <w:bookmarkStart w:name="z33" w:id="29"/>
    <w:p>
      <w:pPr>
        <w:spacing w:after="0"/>
        <w:ind w:left="0"/>
        <w:jc w:val="both"/>
      </w:pPr>
      <w:r>
        <w:rPr>
          <w:rFonts w:ascii="Times New Roman"/>
          <w:b w:val="false"/>
          <w:i w:val="false"/>
          <w:color w:val="000000"/>
          <w:sz w:val="28"/>
        </w:rPr>
        <w:t xml:space="preserve">
      3) the process of selecting priority technologies shall be open and transparent. </w:t>
      </w:r>
    </w:p>
    <w:bookmarkEnd w:id="29"/>
    <w:bookmarkStart w:name="z34" w:id="30"/>
    <w:p>
      <w:pPr>
        <w:spacing w:after="0"/>
        <w:ind w:left="0"/>
        <w:jc w:val="both"/>
      </w:pPr>
      <w:r>
        <w:rPr>
          <w:rFonts w:ascii="Times New Roman"/>
          <w:b w:val="false"/>
          <w:i w:val="false"/>
          <w:color w:val="000000"/>
          <w:sz w:val="28"/>
        </w:rPr>
        <w:t xml:space="preserve">
      9. Priority technologies are identified by the working body; depending on the results of this identification, the working body prioritizes technologies for conducting HTA within a state order. </w:t>
      </w:r>
    </w:p>
    <w:bookmarkEnd w:id="30"/>
    <w:bookmarkStart w:name="z35" w:id="31"/>
    <w:p>
      <w:pPr>
        <w:spacing w:after="0"/>
        <w:ind w:left="0"/>
        <w:jc w:val="both"/>
      </w:pPr>
      <w:r>
        <w:rPr>
          <w:rFonts w:ascii="Times New Roman"/>
          <w:b w:val="false"/>
          <w:i w:val="false"/>
          <w:color w:val="000000"/>
          <w:sz w:val="28"/>
        </w:rPr>
        <w:t xml:space="preserve">
      10. The HTA of non-priority technologies is carried out by applicants or the working body, and also by legal entities and individuals in accordance with </w:t>
      </w:r>
      <w:r>
        <w:rPr>
          <w:rFonts w:ascii="Times New Roman"/>
          <w:b w:val="false"/>
          <w:i w:val="false"/>
          <w:color w:val="000000"/>
          <w:sz w:val="28"/>
        </w:rPr>
        <w:t>paragraph 3</w:t>
      </w:r>
      <w:r>
        <w:rPr>
          <w:rFonts w:ascii="Times New Roman"/>
          <w:b w:val="false"/>
          <w:i w:val="false"/>
          <w:color w:val="000000"/>
          <w:sz w:val="28"/>
        </w:rPr>
        <w:t xml:space="preserve"> of Article 57 of the Code of the Republic of Kazakhstan “On Public Health and the Healthcare System” as of September 18, 2009,  under a relevant agreement. </w:t>
      </w:r>
    </w:p>
    <w:bookmarkEnd w:id="31"/>
    <w:bookmarkStart w:name="z36" w:id="32"/>
    <w:p>
      <w:pPr>
        <w:spacing w:after="0"/>
        <w:ind w:left="0"/>
        <w:jc w:val="both"/>
      </w:pPr>
      <w:r>
        <w:rPr>
          <w:rFonts w:ascii="Times New Roman"/>
          <w:b w:val="false"/>
          <w:i w:val="false"/>
          <w:color w:val="000000"/>
          <w:sz w:val="28"/>
        </w:rPr>
        <w:t>
      11. HTA-associated costs shall be borne by the applicant, unless healthcare technology is included in the list of priority technologies and its HTA is carried out within a state order.</w:t>
      </w:r>
    </w:p>
    <w:bookmarkEnd w:id="32"/>
    <w:bookmarkStart w:name="z37" w:id="33"/>
    <w:p>
      <w:pPr>
        <w:spacing w:after="0"/>
        <w:ind w:left="0"/>
        <w:jc w:val="both"/>
      </w:pPr>
      <w:r>
        <w:rPr>
          <w:rFonts w:ascii="Times New Roman"/>
          <w:b w:val="false"/>
          <w:i w:val="false"/>
          <w:color w:val="000000"/>
          <w:sz w:val="28"/>
        </w:rPr>
        <w:t>
      12. The HTA result is the HTA report sent to the applicant after its completion, which shall contain the following information:</w:t>
      </w:r>
    </w:p>
    <w:bookmarkEnd w:id="33"/>
    <w:bookmarkStart w:name="z38" w:id="34"/>
    <w:p>
      <w:pPr>
        <w:spacing w:after="0"/>
        <w:ind w:left="0"/>
        <w:jc w:val="both"/>
      </w:pPr>
      <w:r>
        <w:rPr>
          <w:rFonts w:ascii="Times New Roman"/>
          <w:b w:val="false"/>
          <w:i w:val="false"/>
          <w:color w:val="000000"/>
          <w:sz w:val="28"/>
        </w:rPr>
        <w:t>
      1) the epidemiology and burden of a disease, for which the healthcare technology is used;</w:t>
      </w:r>
    </w:p>
    <w:bookmarkEnd w:id="34"/>
    <w:bookmarkStart w:name="z39" w:id="35"/>
    <w:p>
      <w:pPr>
        <w:spacing w:after="0"/>
        <w:ind w:left="0"/>
        <w:jc w:val="both"/>
      </w:pPr>
      <w:r>
        <w:rPr>
          <w:rFonts w:ascii="Times New Roman"/>
          <w:b w:val="false"/>
          <w:i w:val="false"/>
          <w:color w:val="000000"/>
          <w:sz w:val="28"/>
        </w:rPr>
        <w:t xml:space="preserve">
      2) current approaches to medical care (standard medical care) for a disease, for which the healthcare technology is used, and their limitations; </w:t>
      </w:r>
    </w:p>
    <w:bookmarkEnd w:id="35"/>
    <w:bookmarkStart w:name="z40" w:id="36"/>
    <w:p>
      <w:pPr>
        <w:spacing w:after="0"/>
        <w:ind w:left="0"/>
        <w:jc w:val="both"/>
      </w:pPr>
      <w:r>
        <w:rPr>
          <w:rFonts w:ascii="Times New Roman"/>
          <w:b w:val="false"/>
          <w:i w:val="false"/>
          <w:color w:val="000000"/>
          <w:sz w:val="28"/>
        </w:rPr>
        <w:t xml:space="preserve">
      3) review of the healthcare technology in the field of its application; </w:t>
      </w:r>
    </w:p>
    <w:bookmarkEnd w:id="36"/>
    <w:bookmarkStart w:name="z41" w:id="37"/>
    <w:p>
      <w:pPr>
        <w:spacing w:after="0"/>
        <w:ind w:left="0"/>
        <w:jc w:val="both"/>
      </w:pPr>
      <w:r>
        <w:rPr>
          <w:rFonts w:ascii="Times New Roman"/>
          <w:b w:val="false"/>
          <w:i w:val="false"/>
          <w:color w:val="000000"/>
          <w:sz w:val="28"/>
        </w:rPr>
        <w:t xml:space="preserve">
      4) comparative analysis of clinical research data on the healthcare technology in the field of its application; </w:t>
      </w:r>
    </w:p>
    <w:bookmarkEnd w:id="37"/>
    <w:bookmarkStart w:name="z42" w:id="38"/>
    <w:p>
      <w:pPr>
        <w:spacing w:after="0"/>
        <w:ind w:left="0"/>
        <w:jc w:val="both"/>
      </w:pPr>
      <w:r>
        <w:rPr>
          <w:rFonts w:ascii="Times New Roman"/>
          <w:b w:val="false"/>
          <w:i w:val="false"/>
          <w:color w:val="000000"/>
          <w:sz w:val="28"/>
        </w:rPr>
        <w:t xml:space="preserve">
      5) review of recommendations on the healthcare technology in the field of its application in foreign clinical guidelines and reports on the assessment of the healthcare technology in the field of its application; </w:t>
      </w:r>
    </w:p>
    <w:bookmarkEnd w:id="38"/>
    <w:bookmarkStart w:name="z43" w:id="39"/>
    <w:p>
      <w:pPr>
        <w:spacing w:after="0"/>
        <w:ind w:left="0"/>
        <w:jc w:val="both"/>
      </w:pPr>
      <w:r>
        <w:rPr>
          <w:rFonts w:ascii="Times New Roman"/>
          <w:b w:val="false"/>
          <w:i w:val="false"/>
          <w:color w:val="000000"/>
          <w:sz w:val="28"/>
        </w:rPr>
        <w:t xml:space="preserve">
      6) analysis of the results of foreign economic studies of the healthcare technology in the field of its application; </w:t>
      </w:r>
    </w:p>
    <w:bookmarkEnd w:id="39"/>
    <w:bookmarkStart w:name="z44" w:id="40"/>
    <w:p>
      <w:pPr>
        <w:spacing w:after="0"/>
        <w:ind w:left="0"/>
        <w:jc w:val="both"/>
      </w:pPr>
      <w:r>
        <w:rPr>
          <w:rFonts w:ascii="Times New Roman"/>
          <w:b w:val="false"/>
          <w:i w:val="false"/>
          <w:color w:val="000000"/>
          <w:sz w:val="28"/>
        </w:rPr>
        <w:t xml:space="preserve">
      7) clinical analysis based on the critical assessment of evidence; </w:t>
      </w:r>
    </w:p>
    <w:bookmarkEnd w:id="40"/>
    <w:bookmarkStart w:name="z45" w:id="41"/>
    <w:p>
      <w:pPr>
        <w:spacing w:after="0"/>
        <w:ind w:left="0"/>
        <w:jc w:val="both"/>
      </w:pPr>
      <w:r>
        <w:rPr>
          <w:rFonts w:ascii="Times New Roman"/>
          <w:b w:val="false"/>
          <w:i w:val="false"/>
          <w:color w:val="000000"/>
          <w:sz w:val="28"/>
        </w:rPr>
        <w:t xml:space="preserve">
      8) economical evaluation; </w:t>
      </w:r>
    </w:p>
    <w:bookmarkEnd w:id="41"/>
    <w:bookmarkStart w:name="z46" w:id="42"/>
    <w:p>
      <w:pPr>
        <w:spacing w:after="0"/>
        <w:ind w:left="0"/>
        <w:jc w:val="both"/>
      </w:pPr>
      <w:r>
        <w:rPr>
          <w:rFonts w:ascii="Times New Roman"/>
          <w:b w:val="false"/>
          <w:i w:val="false"/>
          <w:color w:val="000000"/>
          <w:sz w:val="28"/>
        </w:rPr>
        <w:t xml:space="preserve">
      9) assessment of financial implications of the introduction and dissemination of the healthcare technology at the level of the healthcare system; </w:t>
      </w:r>
    </w:p>
    <w:bookmarkEnd w:id="42"/>
    <w:bookmarkStart w:name="z47" w:id="43"/>
    <w:p>
      <w:pPr>
        <w:spacing w:after="0"/>
        <w:ind w:left="0"/>
        <w:jc w:val="both"/>
      </w:pPr>
      <w:r>
        <w:rPr>
          <w:rFonts w:ascii="Times New Roman"/>
          <w:b w:val="false"/>
          <w:i w:val="false"/>
          <w:color w:val="000000"/>
          <w:sz w:val="28"/>
        </w:rPr>
        <w:t xml:space="preserve">
      10) ethical considerations and social aspects of the use of the healthcare technology in the field of its  application (if applicable); </w:t>
      </w:r>
    </w:p>
    <w:bookmarkEnd w:id="43"/>
    <w:bookmarkStart w:name="z48" w:id="44"/>
    <w:p>
      <w:pPr>
        <w:spacing w:after="0"/>
        <w:ind w:left="0"/>
        <w:jc w:val="both"/>
      </w:pPr>
      <w:r>
        <w:rPr>
          <w:rFonts w:ascii="Times New Roman"/>
          <w:b w:val="false"/>
          <w:i w:val="false"/>
          <w:color w:val="000000"/>
          <w:sz w:val="28"/>
        </w:rPr>
        <w:t xml:space="preserve">
      11) analysis of prospects for the healthcare technology in the field of its application from the perspective of the healthcare system. </w:t>
      </w:r>
    </w:p>
    <w:bookmarkEnd w:id="44"/>
    <w:bookmarkStart w:name="z49" w:id="45"/>
    <w:p>
      <w:pPr>
        <w:spacing w:after="0"/>
        <w:ind w:left="0"/>
        <w:jc w:val="both"/>
      </w:pPr>
      <w:r>
        <w:rPr>
          <w:rFonts w:ascii="Times New Roman"/>
          <w:b w:val="false"/>
          <w:i w:val="false"/>
          <w:color w:val="000000"/>
          <w:sz w:val="28"/>
        </w:rPr>
        <w:t xml:space="preserve">
      13. HTA reports on priority technologies conducted by legal entities and individuals shall be sent to the working body for quality assessment. </w:t>
      </w:r>
    </w:p>
    <w:bookmarkEnd w:id="45"/>
    <w:bookmarkStart w:name="z50" w:id="46"/>
    <w:p>
      <w:pPr>
        <w:spacing w:after="0"/>
        <w:ind w:left="0"/>
        <w:jc w:val="both"/>
      </w:pPr>
      <w:r>
        <w:rPr>
          <w:rFonts w:ascii="Times New Roman"/>
          <w:b w:val="false"/>
          <w:i w:val="false"/>
          <w:color w:val="000000"/>
          <w:sz w:val="28"/>
        </w:rPr>
        <w:t xml:space="preserve">
      14. The quality of the HTA report is assessed according to the checklist provided for in </w:t>
      </w:r>
      <w:r>
        <w:rPr>
          <w:rFonts w:ascii="Times New Roman"/>
          <w:b w:val="false"/>
          <w:i w:val="false"/>
          <w:color w:val="000000"/>
          <w:sz w:val="28"/>
        </w:rPr>
        <w:t>Appendix 1</w:t>
      </w:r>
      <w:r>
        <w:rPr>
          <w:rFonts w:ascii="Times New Roman"/>
          <w:b w:val="false"/>
          <w:i w:val="false"/>
          <w:color w:val="000000"/>
          <w:sz w:val="28"/>
        </w:rPr>
        <w:t xml:space="preserve"> to these Rules and an opinion shall be drawn up based on the results of the quality assessment of the HTA report. </w:t>
      </w:r>
    </w:p>
    <w:bookmarkEnd w:id="46"/>
    <w:bookmarkStart w:name="z51" w:id="47"/>
    <w:p>
      <w:pPr>
        <w:spacing w:after="0"/>
        <w:ind w:left="0"/>
        <w:jc w:val="both"/>
      </w:pPr>
      <w:r>
        <w:rPr>
          <w:rFonts w:ascii="Times New Roman"/>
          <w:b w:val="false"/>
          <w:i w:val="false"/>
          <w:color w:val="000000"/>
          <w:sz w:val="28"/>
        </w:rPr>
        <w:t xml:space="preserve">
      15. The HTA report and positive opinion of the working body based on the results of the quality assessment of the HTA report are submitted to the Joint Commission for the Quality of Medical Services (hereinafter referred to as the JCQ) established by the Regulation on the JCQ activities approved by </w:t>
      </w:r>
      <w:r>
        <w:rPr>
          <w:rFonts w:ascii="Times New Roman"/>
          <w:b w:val="false"/>
          <w:i w:val="false"/>
          <w:color w:val="000000"/>
          <w:sz w:val="28"/>
        </w:rPr>
        <w:t>Order</w:t>
      </w:r>
      <w:r>
        <w:rPr>
          <w:rFonts w:ascii="Times New Roman"/>
          <w:b w:val="false"/>
          <w:i w:val="false"/>
          <w:color w:val="000000"/>
          <w:sz w:val="28"/>
        </w:rPr>
        <w:t xml:space="preserve"> No. 614 of the Minister of Healthcare of the Republic of Kazakhstan as of August 17, 2017 “On approval of the Rules for the establishment of a joint commission for the quality of medical services and the Regulation on its activities” (registered in the State Registration Register of Regulatory Legal Acts under No. 15671). </w:t>
      </w:r>
    </w:p>
    <w:bookmarkEnd w:id="47"/>
    <w:bookmarkStart w:name="z52" w:id="48"/>
    <w:p>
      <w:pPr>
        <w:spacing w:after="0"/>
        <w:ind w:left="0"/>
        <w:jc w:val="both"/>
      </w:pPr>
      <w:r>
        <w:rPr>
          <w:rFonts w:ascii="Times New Roman"/>
          <w:b w:val="false"/>
          <w:i w:val="false"/>
          <w:color w:val="000000"/>
          <w:sz w:val="28"/>
        </w:rPr>
        <w:t xml:space="preserve">
      16. After  the HTA completion, the working body shall enter the application, the HTA report and the JCQ decision into the HTA electronic database and post it on the official website. </w:t>
      </w:r>
    </w:p>
    <w:bookmarkEnd w:id="48"/>
    <w:bookmarkStart w:name="z53" w:id="49"/>
    <w:p>
      <w:pPr>
        <w:spacing w:after="0"/>
        <w:ind w:left="0"/>
        <w:jc w:val="left"/>
      </w:pPr>
      <w:r>
        <w:rPr>
          <w:rFonts w:ascii="Times New Roman"/>
          <w:b/>
          <w:i w:val="false"/>
          <w:color w:val="000000"/>
        </w:rPr>
        <w:t xml:space="preserve"> Clause 1. Procedure for assessing healthcare technologies at the national level</w:t>
      </w:r>
    </w:p>
    <w:bookmarkEnd w:id="49"/>
    <w:bookmarkStart w:name="z54" w:id="50"/>
    <w:p>
      <w:pPr>
        <w:spacing w:after="0"/>
        <w:ind w:left="0"/>
        <w:jc w:val="both"/>
      </w:pPr>
      <w:r>
        <w:rPr>
          <w:rFonts w:ascii="Times New Roman"/>
          <w:b w:val="false"/>
          <w:i w:val="false"/>
          <w:color w:val="000000"/>
          <w:sz w:val="28"/>
        </w:rPr>
        <w:t>
      17. At the national level, the HTA is carried out in order to scientifically substantiate the entering (removal) of health technologies in (from) the lists of compensation under the GVFMC or CSHI.</w:t>
      </w:r>
    </w:p>
    <w:bookmarkEnd w:id="50"/>
    <w:bookmarkStart w:name="z55" w:id="51"/>
    <w:p>
      <w:pPr>
        <w:spacing w:after="0"/>
        <w:ind w:left="0"/>
        <w:jc w:val="both"/>
      </w:pPr>
      <w:r>
        <w:rPr>
          <w:rFonts w:ascii="Times New Roman"/>
          <w:b w:val="false"/>
          <w:i w:val="false"/>
          <w:color w:val="000000"/>
          <w:sz w:val="28"/>
        </w:rPr>
        <w:t>
      18. To conduct the HTA at the national level, as part of a state order, the authorized body, together with the working body, shall identify priority technologies for conducting the HTA.</w:t>
      </w:r>
    </w:p>
    <w:bookmarkEnd w:id="51"/>
    <w:bookmarkStart w:name="z56" w:id="52"/>
    <w:p>
      <w:pPr>
        <w:spacing w:after="0"/>
        <w:ind w:left="0"/>
        <w:jc w:val="both"/>
      </w:pPr>
      <w:r>
        <w:rPr>
          <w:rFonts w:ascii="Times New Roman"/>
          <w:b w:val="false"/>
          <w:i w:val="false"/>
          <w:color w:val="000000"/>
          <w:sz w:val="28"/>
        </w:rPr>
        <w:t>
      19. The list of priority healthcare technologies for conducting the HTA at the national level within the state order (hereinafter referred to as the list of priority technologies) shall be approved by the JCQ decision.</w:t>
      </w:r>
    </w:p>
    <w:bookmarkEnd w:id="52"/>
    <w:bookmarkStart w:name="z57" w:id="53"/>
    <w:p>
      <w:pPr>
        <w:spacing w:after="0"/>
        <w:ind w:left="0"/>
        <w:jc w:val="both"/>
      </w:pPr>
      <w:r>
        <w:rPr>
          <w:rFonts w:ascii="Times New Roman"/>
          <w:b w:val="false"/>
          <w:i w:val="false"/>
          <w:color w:val="000000"/>
          <w:sz w:val="28"/>
        </w:rPr>
        <w:t>
      20. The types and methods of HTA are as follows:</w:t>
      </w:r>
    </w:p>
    <w:bookmarkEnd w:id="53"/>
    <w:bookmarkStart w:name="z58" w:id="54"/>
    <w:p>
      <w:pPr>
        <w:spacing w:after="0"/>
        <w:ind w:left="0"/>
        <w:jc w:val="both"/>
      </w:pPr>
      <w:r>
        <w:rPr>
          <w:rFonts w:ascii="Times New Roman"/>
          <w:b w:val="false"/>
          <w:i w:val="false"/>
          <w:color w:val="000000"/>
          <w:sz w:val="28"/>
        </w:rPr>
        <w:t>
      1) brief review of the effectiveness and safety of healthcare technology (brief review);</w:t>
      </w:r>
    </w:p>
    <w:bookmarkEnd w:id="54"/>
    <w:bookmarkStart w:name="z59" w:id="55"/>
    <w:p>
      <w:pPr>
        <w:spacing w:after="0"/>
        <w:ind w:left="0"/>
        <w:jc w:val="both"/>
      </w:pPr>
      <w:r>
        <w:rPr>
          <w:rFonts w:ascii="Times New Roman"/>
          <w:b w:val="false"/>
          <w:i w:val="false"/>
          <w:color w:val="000000"/>
          <w:sz w:val="28"/>
        </w:rPr>
        <w:t>
      2) economical evaluation;</w:t>
      </w:r>
    </w:p>
    <w:bookmarkEnd w:id="55"/>
    <w:bookmarkStart w:name="z60" w:id="56"/>
    <w:p>
      <w:pPr>
        <w:spacing w:after="0"/>
        <w:ind w:left="0"/>
        <w:jc w:val="both"/>
      </w:pPr>
      <w:r>
        <w:rPr>
          <w:rFonts w:ascii="Times New Roman"/>
          <w:b w:val="false"/>
          <w:i w:val="false"/>
          <w:color w:val="000000"/>
          <w:sz w:val="28"/>
        </w:rPr>
        <w:t>
      3) full-HTA;</w:t>
      </w:r>
    </w:p>
    <w:bookmarkEnd w:id="56"/>
    <w:bookmarkStart w:name="z61" w:id="57"/>
    <w:p>
      <w:pPr>
        <w:spacing w:after="0"/>
        <w:ind w:left="0"/>
        <w:jc w:val="both"/>
      </w:pPr>
      <w:r>
        <w:rPr>
          <w:rFonts w:ascii="Times New Roman"/>
          <w:b w:val="false"/>
          <w:i w:val="false"/>
          <w:color w:val="000000"/>
          <w:sz w:val="28"/>
        </w:rPr>
        <w:t>
      4) mini-HTA;</w:t>
      </w:r>
    </w:p>
    <w:bookmarkEnd w:id="57"/>
    <w:bookmarkStart w:name="z62" w:id="58"/>
    <w:p>
      <w:pPr>
        <w:spacing w:after="0"/>
        <w:ind w:left="0"/>
        <w:jc w:val="both"/>
      </w:pPr>
      <w:r>
        <w:rPr>
          <w:rFonts w:ascii="Times New Roman"/>
          <w:b w:val="false"/>
          <w:i w:val="false"/>
          <w:color w:val="000000"/>
          <w:sz w:val="28"/>
        </w:rPr>
        <w:t>
      5) multi-criteria decision analysis.</w:t>
      </w:r>
    </w:p>
    <w:bookmarkEnd w:id="58"/>
    <w:bookmarkStart w:name="z63" w:id="59"/>
    <w:p>
      <w:pPr>
        <w:spacing w:after="0"/>
        <w:ind w:left="0"/>
        <w:jc w:val="both"/>
      </w:pPr>
      <w:r>
        <w:rPr>
          <w:rFonts w:ascii="Times New Roman"/>
          <w:b w:val="false"/>
          <w:i w:val="false"/>
          <w:color w:val="000000"/>
          <w:sz w:val="28"/>
        </w:rPr>
        <w:t xml:space="preserve">
      21. The rules for a brief review of the effectiveness and safety of health technology are as follows: </w:t>
      </w:r>
    </w:p>
    <w:bookmarkEnd w:id="59"/>
    <w:bookmarkStart w:name="z64" w:id="60"/>
    <w:p>
      <w:pPr>
        <w:spacing w:after="0"/>
        <w:ind w:left="0"/>
        <w:jc w:val="both"/>
      </w:pPr>
      <w:r>
        <w:rPr>
          <w:rFonts w:ascii="Times New Roman"/>
          <w:b w:val="false"/>
          <w:i w:val="false"/>
          <w:color w:val="000000"/>
          <w:sz w:val="28"/>
        </w:rPr>
        <w:t xml:space="preserve">
      1) brief review is carried out in order to promptly provide scientific evidence of the proven clinical and clinical-economic effectiveness and safety of healthcare technologies, for making a clinical (political) decision; </w:t>
      </w:r>
    </w:p>
    <w:bookmarkEnd w:id="60"/>
    <w:bookmarkStart w:name="z65" w:id="61"/>
    <w:p>
      <w:pPr>
        <w:spacing w:after="0"/>
        <w:ind w:left="0"/>
        <w:jc w:val="both"/>
      </w:pPr>
      <w:r>
        <w:rPr>
          <w:rFonts w:ascii="Times New Roman"/>
          <w:b w:val="false"/>
          <w:i w:val="false"/>
          <w:color w:val="000000"/>
          <w:sz w:val="28"/>
        </w:rPr>
        <w:t xml:space="preserve">
      2) brief review of each technology is carried out by two experts simultaneously, independently of one another; </w:t>
      </w:r>
    </w:p>
    <w:bookmarkEnd w:id="61"/>
    <w:bookmarkStart w:name="z66" w:id="62"/>
    <w:p>
      <w:pPr>
        <w:spacing w:after="0"/>
        <w:ind w:left="0"/>
        <w:jc w:val="both"/>
      </w:pPr>
      <w:r>
        <w:rPr>
          <w:rFonts w:ascii="Times New Roman"/>
          <w:b w:val="false"/>
          <w:i w:val="false"/>
          <w:color w:val="000000"/>
          <w:sz w:val="28"/>
        </w:rPr>
        <w:t xml:space="preserve">
      3) brief review is carried out within 30 working days. </w:t>
      </w:r>
    </w:p>
    <w:bookmarkEnd w:id="62"/>
    <w:bookmarkStart w:name="z67" w:id="63"/>
    <w:p>
      <w:pPr>
        <w:spacing w:after="0"/>
        <w:ind w:left="0"/>
        <w:jc w:val="both"/>
      </w:pPr>
      <w:r>
        <w:rPr>
          <w:rFonts w:ascii="Times New Roman"/>
          <w:b w:val="false"/>
          <w:i w:val="false"/>
          <w:color w:val="000000"/>
          <w:sz w:val="28"/>
        </w:rPr>
        <w:t xml:space="preserve">
      22. The rules for conducting economical evaluation are as follows: </w:t>
      </w:r>
    </w:p>
    <w:bookmarkEnd w:id="63"/>
    <w:bookmarkStart w:name="z68" w:id="64"/>
    <w:p>
      <w:pPr>
        <w:spacing w:after="0"/>
        <w:ind w:left="0"/>
        <w:jc w:val="both"/>
      </w:pPr>
      <w:r>
        <w:rPr>
          <w:rFonts w:ascii="Times New Roman"/>
          <w:b w:val="false"/>
          <w:i w:val="false"/>
          <w:color w:val="000000"/>
          <w:sz w:val="28"/>
        </w:rPr>
        <w:t xml:space="preserve">
      1) economical evaluation is the comparison of the healthcare technology under assessment with similar healthcare technologies included in the compensation list in terms of cost and health implications, and identification of advantages of one technology over another; </w:t>
      </w:r>
    </w:p>
    <w:bookmarkEnd w:id="64"/>
    <w:bookmarkStart w:name="z69" w:id="65"/>
    <w:p>
      <w:pPr>
        <w:spacing w:after="0"/>
        <w:ind w:left="0"/>
        <w:jc w:val="both"/>
      </w:pPr>
      <w:r>
        <w:rPr>
          <w:rFonts w:ascii="Times New Roman"/>
          <w:b w:val="false"/>
          <w:i w:val="false"/>
          <w:color w:val="000000"/>
          <w:sz w:val="28"/>
        </w:rPr>
        <w:t>
      2) economical evaluation is carried out by at least two experts;</w:t>
      </w:r>
    </w:p>
    <w:bookmarkEnd w:id="65"/>
    <w:bookmarkStart w:name="z70" w:id="66"/>
    <w:p>
      <w:pPr>
        <w:spacing w:after="0"/>
        <w:ind w:left="0"/>
        <w:jc w:val="both"/>
      </w:pPr>
      <w:r>
        <w:rPr>
          <w:rFonts w:ascii="Times New Roman"/>
          <w:b w:val="false"/>
          <w:i w:val="false"/>
          <w:color w:val="000000"/>
          <w:sz w:val="28"/>
        </w:rPr>
        <w:t xml:space="preserve">
      3) the duration of economic analysis depends on the complexity of healthcare technology, and also on the choice of the method of economical evaluation (cost-effectiveness analysis, cost-utility analysis, modeling) and ranges from 2 (two) to 8 (eight) months.  </w:t>
      </w:r>
    </w:p>
    <w:bookmarkEnd w:id="66"/>
    <w:bookmarkStart w:name="z71" w:id="67"/>
    <w:p>
      <w:pPr>
        <w:spacing w:after="0"/>
        <w:ind w:left="0"/>
        <w:jc w:val="both"/>
      </w:pPr>
      <w:r>
        <w:rPr>
          <w:rFonts w:ascii="Times New Roman"/>
          <w:b w:val="false"/>
          <w:i w:val="false"/>
          <w:color w:val="000000"/>
          <w:sz w:val="28"/>
        </w:rPr>
        <w:t xml:space="preserve">
      23. The rules for conducting a full-HTA are as follows: </w:t>
      </w:r>
    </w:p>
    <w:bookmarkEnd w:id="67"/>
    <w:bookmarkStart w:name="z72" w:id="68"/>
    <w:p>
      <w:pPr>
        <w:spacing w:after="0"/>
        <w:ind w:left="0"/>
        <w:jc w:val="both"/>
      </w:pPr>
      <w:r>
        <w:rPr>
          <w:rFonts w:ascii="Times New Roman"/>
          <w:b w:val="false"/>
          <w:i w:val="false"/>
          <w:color w:val="000000"/>
          <w:sz w:val="28"/>
        </w:rPr>
        <w:t>
      1) full-HTA includes all of the above assessment methods. Within a full HTA, it is only allowed to assess ethical, organizational, social and legal aspects of introduction of technologies under assessment;</w:t>
      </w:r>
    </w:p>
    <w:bookmarkEnd w:id="68"/>
    <w:bookmarkStart w:name="z73" w:id="69"/>
    <w:p>
      <w:pPr>
        <w:spacing w:after="0"/>
        <w:ind w:left="0"/>
        <w:jc w:val="both"/>
      </w:pPr>
      <w:r>
        <w:rPr>
          <w:rFonts w:ascii="Times New Roman"/>
          <w:b w:val="false"/>
          <w:i w:val="false"/>
          <w:color w:val="000000"/>
          <w:sz w:val="28"/>
        </w:rPr>
        <w:t xml:space="preserve">
      2) because of their input intensity and significant investment of financial resources, full HTA reports are mainly used to determine and formulate health policies (national screening programs, vaccination programs); </w:t>
      </w:r>
    </w:p>
    <w:bookmarkEnd w:id="69"/>
    <w:bookmarkStart w:name="z74" w:id="70"/>
    <w:p>
      <w:pPr>
        <w:spacing w:after="0"/>
        <w:ind w:left="0"/>
        <w:jc w:val="both"/>
      </w:pPr>
      <w:r>
        <w:rPr>
          <w:rFonts w:ascii="Times New Roman"/>
          <w:b w:val="false"/>
          <w:i w:val="false"/>
          <w:color w:val="000000"/>
          <w:sz w:val="28"/>
        </w:rPr>
        <w:t xml:space="preserve">
      3) full HTA is conducted by a working group of at least three HTA experts; </w:t>
      </w:r>
    </w:p>
    <w:bookmarkEnd w:id="70"/>
    <w:bookmarkStart w:name="z75" w:id="71"/>
    <w:p>
      <w:pPr>
        <w:spacing w:after="0"/>
        <w:ind w:left="0"/>
        <w:jc w:val="both"/>
      </w:pPr>
      <w:r>
        <w:rPr>
          <w:rFonts w:ascii="Times New Roman"/>
          <w:b w:val="false"/>
          <w:i w:val="false"/>
          <w:color w:val="000000"/>
          <w:sz w:val="28"/>
        </w:rPr>
        <w:t>
      4) the duration of a full HTA is at least 9 (nine) months.</w:t>
      </w:r>
    </w:p>
    <w:bookmarkEnd w:id="71"/>
    <w:bookmarkStart w:name="z76" w:id="72"/>
    <w:p>
      <w:pPr>
        <w:spacing w:after="0"/>
        <w:ind w:left="0"/>
        <w:jc w:val="both"/>
      </w:pPr>
      <w:r>
        <w:rPr>
          <w:rFonts w:ascii="Times New Roman"/>
          <w:b w:val="false"/>
          <w:i w:val="false"/>
          <w:color w:val="000000"/>
          <w:sz w:val="28"/>
        </w:rPr>
        <w:t xml:space="preserve">
      24. The rules for conducting a mini-HTA are as follows: </w:t>
      </w:r>
    </w:p>
    <w:bookmarkEnd w:id="72"/>
    <w:bookmarkStart w:name="z77" w:id="73"/>
    <w:p>
      <w:pPr>
        <w:spacing w:after="0"/>
        <w:ind w:left="0"/>
        <w:jc w:val="both"/>
      </w:pPr>
      <w:r>
        <w:rPr>
          <w:rFonts w:ascii="Times New Roman"/>
          <w:b w:val="false"/>
          <w:i w:val="false"/>
          <w:color w:val="000000"/>
          <w:sz w:val="28"/>
        </w:rPr>
        <w:t>
      1) when conducting a mini-HTA, the technology is assessed from the point of its effectiveness and safety, it is necessary to provide information on the costs and financial impact of introduction of the technology under assessment;</w:t>
      </w:r>
    </w:p>
    <w:bookmarkEnd w:id="73"/>
    <w:bookmarkStart w:name="z78" w:id="74"/>
    <w:p>
      <w:pPr>
        <w:spacing w:after="0"/>
        <w:ind w:left="0"/>
        <w:jc w:val="both"/>
      </w:pPr>
      <w:r>
        <w:rPr>
          <w:rFonts w:ascii="Times New Roman"/>
          <w:b w:val="false"/>
          <w:i w:val="false"/>
          <w:color w:val="000000"/>
          <w:sz w:val="28"/>
        </w:rPr>
        <w:t>
      2) a mini-HTA is conducted by a working group of at least two HTA experts;</w:t>
      </w:r>
    </w:p>
    <w:bookmarkEnd w:id="74"/>
    <w:bookmarkStart w:name="z79" w:id="75"/>
    <w:p>
      <w:pPr>
        <w:spacing w:after="0"/>
        <w:ind w:left="0"/>
        <w:jc w:val="both"/>
      </w:pPr>
      <w:r>
        <w:rPr>
          <w:rFonts w:ascii="Times New Roman"/>
          <w:b w:val="false"/>
          <w:i w:val="false"/>
          <w:color w:val="000000"/>
          <w:sz w:val="28"/>
        </w:rPr>
        <w:t>
      3) the duration of a mini-HTA is from 2 (two) to 4 (four) months.</w:t>
      </w:r>
    </w:p>
    <w:bookmarkEnd w:id="75"/>
    <w:bookmarkStart w:name="z80" w:id="76"/>
    <w:p>
      <w:pPr>
        <w:spacing w:after="0"/>
        <w:ind w:left="0"/>
        <w:jc w:val="both"/>
      </w:pPr>
      <w:r>
        <w:rPr>
          <w:rFonts w:ascii="Times New Roman"/>
          <w:b w:val="false"/>
          <w:i w:val="false"/>
          <w:color w:val="000000"/>
          <w:sz w:val="28"/>
        </w:rPr>
        <w:t>
      25. The rules for making multi-criteria decision analysis are as follows:</w:t>
      </w:r>
    </w:p>
    <w:bookmarkEnd w:id="76"/>
    <w:bookmarkStart w:name="z81" w:id="77"/>
    <w:p>
      <w:pPr>
        <w:spacing w:after="0"/>
        <w:ind w:left="0"/>
        <w:jc w:val="both"/>
      </w:pPr>
      <w:r>
        <w:rPr>
          <w:rFonts w:ascii="Times New Roman"/>
          <w:b w:val="false"/>
          <w:i w:val="false"/>
          <w:color w:val="000000"/>
          <w:sz w:val="28"/>
        </w:rPr>
        <w:t xml:space="preserve">
      1) multi-criteria analysis can be additional to other types of HTA, and also used as an independent assessment method; </w:t>
      </w:r>
    </w:p>
    <w:bookmarkEnd w:id="77"/>
    <w:bookmarkStart w:name="z82" w:id="78"/>
    <w:p>
      <w:pPr>
        <w:spacing w:after="0"/>
        <w:ind w:left="0"/>
        <w:jc w:val="both"/>
      </w:pPr>
      <w:r>
        <w:rPr>
          <w:rFonts w:ascii="Times New Roman"/>
          <w:b w:val="false"/>
          <w:i w:val="false"/>
          <w:color w:val="000000"/>
          <w:sz w:val="28"/>
        </w:rPr>
        <w:t>
      2) multi-criteria analysis is carried out by two experts simultaneously, independently of one another;</w:t>
      </w:r>
    </w:p>
    <w:bookmarkEnd w:id="78"/>
    <w:bookmarkStart w:name="z83" w:id="79"/>
    <w:p>
      <w:pPr>
        <w:spacing w:after="0"/>
        <w:ind w:left="0"/>
        <w:jc w:val="both"/>
      </w:pPr>
      <w:r>
        <w:rPr>
          <w:rFonts w:ascii="Times New Roman"/>
          <w:b w:val="false"/>
          <w:i w:val="false"/>
          <w:color w:val="000000"/>
          <w:sz w:val="28"/>
        </w:rPr>
        <w:t>
      3) multi-criteria analysis is carried out within 30 (thirty) working days.</w:t>
      </w:r>
    </w:p>
    <w:bookmarkEnd w:id="79"/>
    <w:bookmarkStart w:name="z84" w:id="80"/>
    <w:p>
      <w:pPr>
        <w:spacing w:after="0"/>
        <w:ind w:left="0"/>
        <w:jc w:val="both"/>
      </w:pPr>
      <w:r>
        <w:rPr>
          <w:rFonts w:ascii="Times New Roman"/>
          <w:b w:val="false"/>
          <w:i w:val="false"/>
          <w:color w:val="000000"/>
          <w:sz w:val="28"/>
        </w:rPr>
        <w:t>
      26. The rules for submitting a HTA application are as follows:</w:t>
      </w:r>
    </w:p>
    <w:bookmarkEnd w:id="80"/>
    <w:bookmarkStart w:name="z85" w:id="81"/>
    <w:p>
      <w:pPr>
        <w:spacing w:after="0"/>
        <w:ind w:left="0"/>
        <w:jc w:val="both"/>
      </w:pPr>
      <w:r>
        <w:rPr>
          <w:rFonts w:ascii="Times New Roman"/>
          <w:b w:val="false"/>
          <w:i w:val="false"/>
          <w:color w:val="000000"/>
          <w:sz w:val="28"/>
        </w:rPr>
        <w:t xml:space="preserve">
      1) the applicant submits an application for conducting the HTA and materials in written and electronic forms to the working body or legal entity, in accordance with the requirements in </w:t>
      </w:r>
      <w:r>
        <w:rPr>
          <w:rFonts w:ascii="Times New Roman"/>
          <w:b w:val="false"/>
          <w:i w:val="false"/>
          <w:color w:val="000000"/>
          <w:sz w:val="28"/>
        </w:rPr>
        <w:t>Appendix 2</w:t>
      </w:r>
      <w:r>
        <w:rPr>
          <w:rFonts w:ascii="Times New Roman"/>
          <w:b w:val="false"/>
          <w:i w:val="false"/>
          <w:color w:val="000000"/>
          <w:sz w:val="28"/>
        </w:rPr>
        <w:t>;</w:t>
      </w:r>
    </w:p>
    <w:bookmarkEnd w:id="81"/>
    <w:bookmarkStart w:name="z86" w:id="82"/>
    <w:p>
      <w:pPr>
        <w:spacing w:after="0"/>
        <w:ind w:left="0"/>
        <w:jc w:val="both"/>
      </w:pPr>
      <w:r>
        <w:rPr>
          <w:rFonts w:ascii="Times New Roman"/>
          <w:b w:val="false"/>
          <w:i w:val="false"/>
          <w:color w:val="000000"/>
          <w:sz w:val="28"/>
        </w:rPr>
        <w:t xml:space="preserve">
      2) the working body or legal entities check the completeness of the submitted documents and request additional materials and documents; </w:t>
      </w:r>
    </w:p>
    <w:bookmarkEnd w:id="82"/>
    <w:bookmarkStart w:name="z87" w:id="83"/>
    <w:p>
      <w:pPr>
        <w:spacing w:after="0"/>
        <w:ind w:left="0"/>
        <w:jc w:val="both"/>
      </w:pPr>
      <w:r>
        <w:rPr>
          <w:rFonts w:ascii="Times New Roman"/>
          <w:b w:val="false"/>
          <w:i w:val="false"/>
          <w:color w:val="000000"/>
          <w:sz w:val="28"/>
        </w:rPr>
        <w:t xml:space="preserve">
      3) in case of submission of an incomplete set of documents as required by the rules for the formation and submission of an application, or discovery of false information, it is necessary to send a reasoned refusal to conduct HTA to the applicant within 10 (ten) working days of the application’s submission; </w:t>
      </w:r>
    </w:p>
    <w:bookmarkEnd w:id="83"/>
    <w:bookmarkStart w:name="z88" w:id="84"/>
    <w:p>
      <w:pPr>
        <w:spacing w:after="0"/>
        <w:ind w:left="0"/>
        <w:jc w:val="both"/>
      </w:pPr>
      <w:r>
        <w:rPr>
          <w:rFonts w:ascii="Times New Roman"/>
          <w:b w:val="false"/>
          <w:i w:val="false"/>
          <w:color w:val="000000"/>
          <w:sz w:val="28"/>
        </w:rPr>
        <w:t xml:space="preserve">
      4) the working body or legal entities conduct the HTA within the time frames specified in these Rules; </w:t>
      </w:r>
    </w:p>
    <w:bookmarkEnd w:id="84"/>
    <w:bookmarkStart w:name="z89" w:id="85"/>
    <w:p>
      <w:pPr>
        <w:spacing w:after="0"/>
        <w:ind w:left="0"/>
        <w:jc w:val="both"/>
      </w:pPr>
      <w:r>
        <w:rPr>
          <w:rFonts w:ascii="Times New Roman"/>
          <w:b w:val="false"/>
          <w:i w:val="false"/>
          <w:color w:val="000000"/>
          <w:sz w:val="28"/>
        </w:rPr>
        <w:t xml:space="preserve">
      5) in the course of the HTA, the working body or legal entities request additional explanations or clarifications from the applicant about specific provisions in the submitted documents and materials;   </w:t>
      </w:r>
    </w:p>
    <w:bookmarkEnd w:id="85"/>
    <w:bookmarkStart w:name="z90" w:id="86"/>
    <w:p>
      <w:pPr>
        <w:spacing w:after="0"/>
        <w:ind w:left="0"/>
        <w:jc w:val="both"/>
      </w:pPr>
      <w:r>
        <w:rPr>
          <w:rFonts w:ascii="Times New Roman"/>
          <w:b w:val="false"/>
          <w:i w:val="false"/>
          <w:color w:val="000000"/>
          <w:sz w:val="28"/>
        </w:rPr>
        <w:t xml:space="preserve">
      6) the HTA time frame is suspended for the time of submission of requested documents by the applicant. The time frame for addressing concerns by the applicant is not included in the HTA time frame; </w:t>
      </w:r>
    </w:p>
    <w:bookmarkEnd w:id="86"/>
    <w:bookmarkStart w:name="z91" w:id="87"/>
    <w:p>
      <w:pPr>
        <w:spacing w:after="0"/>
        <w:ind w:left="0"/>
        <w:jc w:val="both"/>
      </w:pPr>
      <w:r>
        <w:rPr>
          <w:rFonts w:ascii="Times New Roman"/>
          <w:b w:val="false"/>
          <w:i w:val="false"/>
          <w:color w:val="000000"/>
          <w:sz w:val="28"/>
        </w:rPr>
        <w:t>
      7) the working body or legal entities terminate the HTA in case of a failure to provide a complete set of documents or to address concerns at the HTA stage;</w:t>
      </w:r>
    </w:p>
    <w:bookmarkEnd w:id="87"/>
    <w:bookmarkStart w:name="z92" w:id="88"/>
    <w:p>
      <w:pPr>
        <w:spacing w:after="0"/>
        <w:ind w:left="0"/>
        <w:jc w:val="both"/>
      </w:pPr>
      <w:r>
        <w:rPr>
          <w:rFonts w:ascii="Times New Roman"/>
          <w:b w:val="false"/>
          <w:i w:val="false"/>
          <w:color w:val="000000"/>
          <w:sz w:val="28"/>
        </w:rPr>
        <w:t xml:space="preserve">
      8) based on the HTA result, a report is prepared in accordance with the form in </w:t>
      </w:r>
      <w:r>
        <w:rPr>
          <w:rFonts w:ascii="Times New Roman"/>
          <w:b w:val="false"/>
          <w:i w:val="false"/>
          <w:color w:val="000000"/>
          <w:sz w:val="28"/>
        </w:rPr>
        <w:t>Appendix 3</w:t>
      </w:r>
      <w:r>
        <w:rPr>
          <w:rFonts w:ascii="Times New Roman"/>
          <w:b w:val="false"/>
          <w:i w:val="false"/>
          <w:color w:val="000000"/>
          <w:sz w:val="28"/>
        </w:rPr>
        <w:t xml:space="preserve"> to these Rules. </w:t>
      </w:r>
    </w:p>
    <w:bookmarkEnd w:id="88"/>
    <w:bookmarkStart w:name="z93" w:id="89"/>
    <w:p>
      <w:pPr>
        <w:spacing w:after="0"/>
        <w:ind w:left="0"/>
        <w:jc w:val="both"/>
      </w:pPr>
      <w:r>
        <w:rPr>
          <w:rFonts w:ascii="Times New Roman"/>
          <w:b w:val="false"/>
          <w:i w:val="false"/>
          <w:color w:val="000000"/>
          <w:sz w:val="28"/>
        </w:rPr>
        <w:t>
      27. The HTA report is considered at a regular JCQ meeting.</w:t>
      </w:r>
    </w:p>
    <w:bookmarkEnd w:id="89"/>
    <w:bookmarkStart w:name="z94" w:id="90"/>
    <w:p>
      <w:pPr>
        <w:spacing w:after="0"/>
        <w:ind w:left="0"/>
        <w:jc w:val="both"/>
      </w:pPr>
      <w:r>
        <w:rPr>
          <w:rFonts w:ascii="Times New Roman"/>
          <w:b w:val="false"/>
          <w:i w:val="false"/>
          <w:color w:val="000000"/>
          <w:sz w:val="28"/>
        </w:rPr>
        <w:t>
      28. Based on submitted materials, the JCQ makes one of the following decisions:</w:t>
      </w:r>
    </w:p>
    <w:bookmarkEnd w:id="90"/>
    <w:bookmarkStart w:name="z95" w:id="91"/>
    <w:p>
      <w:pPr>
        <w:spacing w:after="0"/>
        <w:ind w:left="0"/>
        <w:jc w:val="both"/>
      </w:pPr>
      <w:r>
        <w:rPr>
          <w:rFonts w:ascii="Times New Roman"/>
          <w:b w:val="false"/>
          <w:i w:val="false"/>
          <w:color w:val="000000"/>
          <w:sz w:val="28"/>
        </w:rPr>
        <w:t>
      1) to approve the healthcare technology for use with a recommendation to either enter or not to enter it in the compensation lists;</w:t>
      </w:r>
    </w:p>
    <w:bookmarkEnd w:id="91"/>
    <w:bookmarkStart w:name="z96" w:id="92"/>
    <w:p>
      <w:pPr>
        <w:spacing w:after="0"/>
        <w:ind w:left="0"/>
        <w:jc w:val="both"/>
      </w:pPr>
      <w:r>
        <w:rPr>
          <w:rFonts w:ascii="Times New Roman"/>
          <w:b w:val="false"/>
          <w:i w:val="false"/>
          <w:color w:val="000000"/>
          <w:sz w:val="28"/>
        </w:rPr>
        <w:t>
      2) to refuse to approve the use of the healthcare technology and enter it in the compensation lists giving the rationale for the refusal.</w:t>
      </w:r>
    </w:p>
    <w:bookmarkEnd w:id="92"/>
    <w:bookmarkStart w:name="z97" w:id="93"/>
    <w:p>
      <w:pPr>
        <w:spacing w:after="0"/>
        <w:ind w:left="0"/>
        <w:jc w:val="both"/>
      </w:pPr>
      <w:r>
        <w:rPr>
          <w:rFonts w:ascii="Times New Roman"/>
          <w:b w:val="false"/>
          <w:i w:val="false"/>
          <w:color w:val="000000"/>
          <w:sz w:val="28"/>
        </w:rPr>
        <w:t>
      29. Applications for conducting the HTA, with regard to which the JCQ has decided to refuse to enter the healthcare technology in the compensation lists, shall be re-submitted by applicants after new data are presented that give evidence to clinical effectiveness, safety and cost-effectiveness of the technology, but not earlier than two years of the JCQ decision.</w:t>
      </w:r>
    </w:p>
    <w:bookmarkEnd w:id="93"/>
    <w:bookmarkStart w:name="z98" w:id="94"/>
    <w:p>
      <w:pPr>
        <w:spacing w:after="0"/>
        <w:ind w:left="0"/>
        <w:jc w:val="both"/>
      </w:pPr>
      <w:r>
        <w:rPr>
          <w:rFonts w:ascii="Times New Roman"/>
          <w:b w:val="false"/>
          <w:i w:val="false"/>
          <w:color w:val="000000"/>
          <w:sz w:val="28"/>
        </w:rPr>
        <w:t xml:space="preserve">
      30. The JCQ decision is documented in the minutes and published on the official website of the authorized body within 10 (ten) working days. </w:t>
      </w:r>
    </w:p>
    <w:bookmarkEnd w:id="94"/>
    <w:bookmarkStart w:name="z99" w:id="95"/>
    <w:p>
      <w:pPr>
        <w:spacing w:after="0"/>
        <w:ind w:left="0"/>
        <w:jc w:val="both"/>
      </w:pPr>
      <w:r>
        <w:rPr>
          <w:rFonts w:ascii="Times New Roman"/>
          <w:b w:val="false"/>
          <w:i w:val="false"/>
          <w:color w:val="000000"/>
          <w:sz w:val="28"/>
        </w:rPr>
        <w:t xml:space="preserve">
      31. In case of a positive JCQ decision, the applicant makes preliminary calculations of the cost of the technology, agrees them with the compulsory health insurance fund and submits them to the budget commission of the authorized body. </w:t>
      </w:r>
    </w:p>
    <w:bookmarkEnd w:id="95"/>
    <w:bookmarkStart w:name="z100" w:id="96"/>
    <w:p>
      <w:pPr>
        <w:spacing w:after="0"/>
        <w:ind w:left="0"/>
        <w:jc w:val="both"/>
      </w:pPr>
      <w:r>
        <w:rPr>
          <w:rFonts w:ascii="Times New Roman"/>
          <w:b w:val="false"/>
          <w:i w:val="false"/>
          <w:color w:val="000000"/>
          <w:sz w:val="28"/>
        </w:rPr>
        <w:t xml:space="preserve">
      32. With account of the amount of financial resources available for an ensuing year, the budget commission of the authorized body takes one of the following decisions:  </w:t>
      </w:r>
    </w:p>
    <w:bookmarkEnd w:id="96"/>
    <w:bookmarkStart w:name="z101" w:id="97"/>
    <w:p>
      <w:pPr>
        <w:spacing w:after="0"/>
        <w:ind w:left="0"/>
        <w:jc w:val="both"/>
      </w:pPr>
      <w:r>
        <w:rPr>
          <w:rFonts w:ascii="Times New Roman"/>
          <w:b w:val="false"/>
          <w:i w:val="false"/>
          <w:color w:val="000000"/>
          <w:sz w:val="28"/>
        </w:rPr>
        <w:t xml:space="preserve">
      1) to approve the entering of the healthcare technology in the compensation lists indicating the name; </w:t>
      </w:r>
    </w:p>
    <w:bookmarkEnd w:id="97"/>
    <w:bookmarkStart w:name="z102" w:id="98"/>
    <w:p>
      <w:pPr>
        <w:spacing w:after="0"/>
        <w:ind w:left="0"/>
        <w:jc w:val="both"/>
      </w:pPr>
      <w:r>
        <w:rPr>
          <w:rFonts w:ascii="Times New Roman"/>
          <w:b w:val="false"/>
          <w:i w:val="false"/>
          <w:color w:val="000000"/>
          <w:sz w:val="28"/>
        </w:rPr>
        <w:t xml:space="preserve">
      2) to refuse to approve the entering of the healthcare technology in the compensation lists. </w:t>
      </w:r>
    </w:p>
    <w:bookmarkEnd w:id="98"/>
    <w:bookmarkStart w:name="z103" w:id="99"/>
    <w:p>
      <w:pPr>
        <w:spacing w:after="0"/>
        <w:ind w:left="0"/>
        <w:jc w:val="both"/>
      </w:pPr>
      <w:r>
        <w:rPr>
          <w:rFonts w:ascii="Times New Roman"/>
          <w:b w:val="false"/>
          <w:i w:val="false"/>
          <w:color w:val="000000"/>
          <w:sz w:val="28"/>
        </w:rPr>
        <w:t xml:space="preserve">
      33. In case of a positive decision of the budget commission, the authorized body enters the technology into the compensation lists. </w:t>
      </w:r>
    </w:p>
    <w:bookmarkEnd w:id="99"/>
    <w:bookmarkStart w:name="z104" w:id="100"/>
    <w:p>
      <w:pPr>
        <w:spacing w:after="0"/>
        <w:ind w:left="0"/>
        <w:jc w:val="both"/>
      </w:pPr>
      <w:r>
        <w:rPr>
          <w:rFonts w:ascii="Times New Roman"/>
          <w:b w:val="false"/>
          <w:i w:val="false"/>
          <w:color w:val="000000"/>
          <w:sz w:val="28"/>
        </w:rPr>
        <w:t xml:space="preserve">
      34. If the applicant disagrees with the JCQ decision based on the HTA results, it can appeal against it within one month by applying to the authorized body. </w:t>
      </w:r>
    </w:p>
    <w:bookmarkEnd w:id="100"/>
    <w:p>
      <w:pPr>
        <w:spacing w:after="0"/>
        <w:ind w:left="0"/>
        <w:jc w:val="both"/>
      </w:pPr>
      <w:r>
        <w:rPr>
          <w:rFonts w:ascii="Times New Roman"/>
          <w:b w:val="false"/>
          <w:i w:val="false"/>
          <w:color w:val="000000"/>
          <w:sz w:val="28"/>
        </w:rPr>
        <w:t xml:space="preserve">
      Clause 2. Procedure for conducting HTA at the regional level and at the level of a healthcare organization </w:t>
      </w:r>
    </w:p>
    <w:bookmarkStart w:name="z105" w:id="101"/>
    <w:p>
      <w:pPr>
        <w:spacing w:after="0"/>
        <w:ind w:left="0"/>
        <w:jc w:val="both"/>
      </w:pPr>
      <w:r>
        <w:rPr>
          <w:rFonts w:ascii="Times New Roman"/>
          <w:b w:val="false"/>
          <w:i w:val="false"/>
          <w:color w:val="000000"/>
          <w:sz w:val="28"/>
        </w:rPr>
        <w:t>
      35. To make decisions within the local budget, the Healthcare Department of a region, the capital, cities of republican significance (hereinafter referred to as the healthcare department) and (or) a healthcare organization shall:</w:t>
      </w:r>
    </w:p>
    <w:bookmarkEnd w:id="101"/>
    <w:bookmarkStart w:name="z106" w:id="102"/>
    <w:p>
      <w:pPr>
        <w:spacing w:after="0"/>
        <w:ind w:left="0"/>
        <w:jc w:val="both"/>
      </w:pPr>
      <w:r>
        <w:rPr>
          <w:rFonts w:ascii="Times New Roman"/>
          <w:b w:val="false"/>
          <w:i w:val="false"/>
          <w:color w:val="000000"/>
          <w:sz w:val="28"/>
        </w:rPr>
        <w:t>
      1) identify the priority of healthcare technology;</w:t>
      </w:r>
    </w:p>
    <w:bookmarkEnd w:id="102"/>
    <w:bookmarkStart w:name="z107" w:id="103"/>
    <w:p>
      <w:pPr>
        <w:spacing w:after="0"/>
        <w:ind w:left="0"/>
        <w:jc w:val="both"/>
      </w:pPr>
      <w:r>
        <w:rPr>
          <w:rFonts w:ascii="Times New Roman"/>
          <w:b w:val="false"/>
          <w:i w:val="false"/>
          <w:color w:val="000000"/>
          <w:sz w:val="28"/>
        </w:rPr>
        <w:t xml:space="preserve">
      2) select the type and method of HTA in accordance with </w:t>
      </w:r>
      <w:r>
        <w:rPr>
          <w:rFonts w:ascii="Times New Roman"/>
          <w:b w:val="false"/>
          <w:i w:val="false"/>
          <w:color w:val="000000"/>
          <w:sz w:val="28"/>
        </w:rPr>
        <w:t>paragraph 20</w:t>
      </w:r>
      <w:r>
        <w:rPr>
          <w:rFonts w:ascii="Times New Roman"/>
          <w:b w:val="false"/>
          <w:i w:val="false"/>
          <w:color w:val="000000"/>
          <w:sz w:val="28"/>
        </w:rPr>
        <w:t xml:space="preserve"> of Clause 1 of these Rules; </w:t>
      </w:r>
    </w:p>
    <w:bookmarkEnd w:id="103"/>
    <w:bookmarkStart w:name="z108" w:id="104"/>
    <w:p>
      <w:pPr>
        <w:spacing w:after="0"/>
        <w:ind w:left="0"/>
        <w:jc w:val="both"/>
      </w:pPr>
      <w:r>
        <w:rPr>
          <w:rFonts w:ascii="Times New Roman"/>
          <w:b w:val="false"/>
          <w:i w:val="false"/>
          <w:color w:val="000000"/>
          <w:sz w:val="28"/>
        </w:rPr>
        <w:t xml:space="preserve">
      3) conduct HTA independently or involving legal entities or individuals in accordance with </w:t>
      </w:r>
      <w:r>
        <w:rPr>
          <w:rFonts w:ascii="Times New Roman"/>
          <w:b w:val="false"/>
          <w:i w:val="false"/>
          <w:color w:val="000000"/>
          <w:sz w:val="28"/>
        </w:rPr>
        <w:t>paragraph 10</w:t>
      </w:r>
      <w:r>
        <w:rPr>
          <w:rFonts w:ascii="Times New Roman"/>
          <w:b w:val="false"/>
          <w:i w:val="false"/>
          <w:color w:val="000000"/>
          <w:sz w:val="28"/>
        </w:rPr>
        <w:t xml:space="preserve"> of these Rules; </w:t>
      </w:r>
    </w:p>
    <w:bookmarkEnd w:id="104"/>
    <w:bookmarkStart w:name="z109" w:id="105"/>
    <w:p>
      <w:pPr>
        <w:spacing w:after="0"/>
        <w:ind w:left="0"/>
        <w:jc w:val="both"/>
      </w:pPr>
      <w:r>
        <w:rPr>
          <w:rFonts w:ascii="Times New Roman"/>
          <w:b w:val="false"/>
          <w:i w:val="false"/>
          <w:color w:val="000000"/>
          <w:sz w:val="28"/>
        </w:rPr>
        <w:t>
      4) set up commissions of the healthcare department or healthcare organization to consider the HTA results.</w:t>
      </w:r>
    </w:p>
    <w:bookmarkEnd w:id="105"/>
    <w:bookmarkStart w:name="z110" w:id="106"/>
    <w:p>
      <w:pPr>
        <w:spacing w:after="0"/>
        <w:ind w:left="0"/>
        <w:jc w:val="both"/>
      </w:pPr>
      <w:r>
        <w:rPr>
          <w:rFonts w:ascii="Times New Roman"/>
          <w:b w:val="false"/>
          <w:i w:val="false"/>
          <w:color w:val="000000"/>
          <w:sz w:val="28"/>
        </w:rPr>
        <w:t xml:space="preserve">
      36. At the regional level, the HTA is achieved by: </w:t>
      </w:r>
    </w:p>
    <w:bookmarkEnd w:id="106"/>
    <w:p>
      <w:pPr>
        <w:spacing w:after="0"/>
        <w:ind w:left="0"/>
        <w:jc w:val="both"/>
      </w:pPr>
      <w:r>
        <w:rPr>
          <w:rFonts w:ascii="Times New Roman"/>
          <w:b w:val="false"/>
          <w:i w:val="false"/>
          <w:color w:val="000000"/>
          <w:sz w:val="28"/>
        </w:rPr>
        <w:t xml:space="preserve">
      1) developing and introducing new healthcare technologies; </w:t>
      </w:r>
    </w:p>
    <w:p>
      <w:pPr>
        <w:spacing w:after="0"/>
        <w:ind w:left="0"/>
        <w:jc w:val="both"/>
      </w:pPr>
      <w:r>
        <w:rPr>
          <w:rFonts w:ascii="Times New Roman"/>
          <w:b w:val="false"/>
          <w:i w:val="false"/>
          <w:color w:val="000000"/>
          <w:sz w:val="28"/>
        </w:rPr>
        <w:t xml:space="preserve">
      2) purchasing pharmaceuticals, medical devices, medical technical products and equipment for the provision of medical care within the GVFMC or in the CSHI system; </w:t>
      </w:r>
    </w:p>
    <w:p>
      <w:pPr>
        <w:spacing w:after="0"/>
        <w:ind w:left="0"/>
        <w:jc w:val="both"/>
      </w:pPr>
      <w:r>
        <w:rPr>
          <w:rFonts w:ascii="Times New Roman"/>
          <w:b w:val="false"/>
          <w:i w:val="false"/>
          <w:color w:val="000000"/>
          <w:sz w:val="28"/>
        </w:rPr>
        <w:t xml:space="preserve">
      3) developing documents regulating the volume and quality of medical care (standards for the provision of medical care, algorithms, lists, forms). </w:t>
      </w:r>
    </w:p>
    <w:p>
      <w:pPr>
        <w:spacing w:after="0"/>
        <w:ind w:left="0"/>
        <w:jc w:val="both"/>
      </w:pPr>
      <w:r>
        <w:rPr>
          <w:rFonts w:ascii="Times New Roman"/>
          <w:b w:val="false"/>
          <w:i w:val="false"/>
          <w:color w:val="000000"/>
          <w:sz w:val="28"/>
        </w:rPr>
        <w:t xml:space="preserve">
      37. Based on the submitted materials, the commission of a healthcare department or healthcare organization takes one of the following decisions: </w:t>
      </w:r>
    </w:p>
    <w:p>
      <w:pPr>
        <w:spacing w:after="0"/>
        <w:ind w:left="0"/>
        <w:jc w:val="both"/>
      </w:pPr>
      <w:r>
        <w:rPr>
          <w:rFonts w:ascii="Times New Roman"/>
          <w:b w:val="false"/>
          <w:i w:val="false"/>
          <w:color w:val="000000"/>
          <w:sz w:val="28"/>
        </w:rPr>
        <w:t>
      1) to approve the introduction and use of the healthcare technology;</w:t>
      </w:r>
    </w:p>
    <w:p>
      <w:pPr>
        <w:spacing w:after="0"/>
        <w:ind w:left="0"/>
        <w:jc w:val="both"/>
      </w:pPr>
      <w:r>
        <w:rPr>
          <w:rFonts w:ascii="Times New Roman"/>
          <w:b w:val="false"/>
          <w:i w:val="false"/>
          <w:color w:val="000000"/>
          <w:sz w:val="28"/>
        </w:rPr>
        <w:t xml:space="preserve">
      2) to refuse to approve the introduction and use giving rationale for the refusal. </w:t>
      </w:r>
    </w:p>
    <w:p>
      <w:pPr>
        <w:spacing w:after="0"/>
        <w:ind w:left="0"/>
        <w:jc w:val="both"/>
      </w:pPr>
      <w:r>
        <w:rPr>
          <w:rFonts w:ascii="Times New Roman"/>
          <w:b w:val="false"/>
          <w:i w:val="false"/>
          <w:color w:val="000000"/>
          <w:sz w:val="28"/>
        </w:rPr>
        <w:t xml:space="preserve">
      3) to enter in/remove from the purchase lists of pharmaceuticals, medical devices, medical technical products and equipment for the provision of medical care, also within the GVFMC or in the CSHI system; </w:t>
      </w:r>
    </w:p>
    <w:p>
      <w:pPr>
        <w:spacing w:after="0"/>
        <w:ind w:left="0"/>
        <w:jc w:val="both"/>
      </w:pPr>
      <w:r>
        <w:rPr>
          <w:rFonts w:ascii="Times New Roman"/>
          <w:b w:val="false"/>
          <w:i w:val="false"/>
          <w:color w:val="000000"/>
          <w:sz w:val="28"/>
        </w:rPr>
        <w:t>
      4) to enter /remove healthcare technologies in/from documents regulating the volume and quality of medical care (standards for the provision of medical care, algorithms, lists, forms), also within the GVFMC or in the CSHI system.</w:t>
      </w:r>
    </w:p>
    <w:p>
      <w:pPr>
        <w:spacing w:after="0"/>
        <w:ind w:left="0"/>
        <w:jc w:val="both"/>
      </w:pPr>
      <w:r>
        <w:rPr>
          <w:rFonts w:ascii="Times New Roman"/>
          <w:b w:val="false"/>
          <w:i w:val="false"/>
          <w:color w:val="000000"/>
          <w:sz w:val="28"/>
        </w:rPr>
        <w:t xml:space="preserve">
      38. The decision of the commission of a healthcare department or healthcare organization on the consideration of the HTA results is documented in the minutes within 10 (ten) working days. </w:t>
      </w:r>
    </w:p>
    <w:p>
      <w:pPr>
        <w:spacing w:after="0"/>
        <w:ind w:left="0"/>
        <w:jc w:val="both"/>
      </w:pPr>
      <w:r>
        <w:rPr>
          <w:rFonts w:ascii="Times New Roman"/>
          <w:b w:val="false"/>
          <w:i w:val="false"/>
          <w:color w:val="000000"/>
          <w:sz w:val="28"/>
        </w:rPr>
        <w:t xml:space="preserve">
      39. In case of a positive decision of the commission, the applicant introduces the technology within the current local budget of the healthcare department and (or) healthcare organization. </w:t>
      </w:r>
    </w:p>
    <w:p>
      <w:pPr>
        <w:spacing w:after="0"/>
        <w:ind w:left="0"/>
        <w:jc w:val="both"/>
      </w:pPr>
      <w:r>
        <w:rPr>
          <w:rFonts w:ascii="Times New Roman"/>
          <w:b w:val="false"/>
          <w:i w:val="false"/>
          <w:color w:val="000000"/>
          <w:sz w:val="28"/>
        </w:rPr>
        <w:t xml:space="preserve">
      40. The healthcare department organizes and performs the control, monitoring and analysis of the HTA process at the regional level and submits a report to the working body on an annual basis. </w:t>
      </w:r>
    </w:p>
    <w:p>
      <w:pPr>
        <w:spacing w:after="0"/>
        <w:ind w:left="0"/>
        <w:jc w:val="both"/>
      </w:pPr>
      <w:r>
        <w:rPr>
          <w:rFonts w:ascii="Times New Roman"/>
          <w:b w:val="false"/>
          <w:i w:val="false"/>
          <w:color w:val="000000"/>
          <w:sz w:val="28"/>
        </w:rPr>
        <w:t xml:space="preserve">
      41. The working body makes annual analysis of the conducted HTAs at the regional level and submits it to the authorized body.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r>
              <w:br/>
            </w:r>
            <w:r>
              <w:rPr>
                <w:rFonts w:ascii="Times New Roman"/>
                <w:b w:val="false"/>
                <w:i w:val="false"/>
                <w:color w:val="000000"/>
                <w:sz w:val="20"/>
              </w:rPr>
              <w:t>the Rules for healthcare</w:t>
            </w:r>
            <w:r>
              <w:br/>
            </w:r>
            <w:r>
              <w:rPr>
                <w:rFonts w:ascii="Times New Roman"/>
                <w:b w:val="false"/>
                <w:i w:val="false"/>
                <w:color w:val="000000"/>
                <w:sz w:val="20"/>
              </w:rPr>
              <w:t>technology assessment</w:t>
            </w:r>
            <w:r>
              <w:br/>
            </w:r>
            <w:r>
              <w:rPr>
                <w:rFonts w:ascii="Times New Roman"/>
                <w:b w:val="false"/>
                <w:i w:val="false"/>
                <w:color w:val="000000"/>
                <w:sz w:val="20"/>
              </w:rPr>
              <w:t xml:space="preserve">Form </w:t>
            </w:r>
          </w:p>
        </w:tc>
      </w:tr>
    </w:tbl>
    <w:bookmarkStart w:name="z112" w:id="107"/>
    <w:p>
      <w:pPr>
        <w:spacing w:after="0"/>
        <w:ind w:left="0"/>
        <w:jc w:val="left"/>
      </w:pPr>
      <w:r>
        <w:rPr>
          <w:rFonts w:ascii="Times New Roman"/>
          <w:b/>
          <w:i w:val="false"/>
          <w:color w:val="000000"/>
        </w:rPr>
        <w:t xml:space="preserve"> Checklist for assessing the quality of healthcare technology assessment reports</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report’s submission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8"/>
    <w:p>
      <w:pPr>
        <w:spacing w:after="0"/>
        <w:ind w:left="0"/>
        <w:jc w:val="both"/>
      </w:pPr>
      <w:r>
        <w:rPr>
          <w:rFonts w:ascii="Times New Roman"/>
          <w:b w:val="false"/>
          <w:i w:val="false"/>
          <w:color w:val="000000"/>
          <w:sz w:val="28"/>
        </w:rPr>
        <w:t>
      I. General aspects</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Sufficient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Insufficient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Contact details are indicated for further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Information on experts involved in the preparation of the report and their qualifications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Documented information on the presence or absence of a conflict of interest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Data on sufficiency of the report’s review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Brief summary in a non-technical language known by broad audience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9"/>
    <w:p>
      <w:pPr>
        <w:spacing w:after="0"/>
        <w:ind w:left="0"/>
        <w:jc w:val="both"/>
      </w:pPr>
      <w:r>
        <w:rPr>
          <w:rFonts w:ascii="Times New Roman"/>
          <w:b w:val="false"/>
          <w:i w:val="false"/>
          <w:color w:val="000000"/>
          <w:sz w:val="28"/>
        </w:rPr>
        <w:t>
      Note:</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in this section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 Approaches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Sufficient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Insufficient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Need for assessment in terms of decision-making (MoH/CMIF) is substantiated and clearly stated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Statement of the research purpose of conducting the assessment is methodically correct and substantiated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Scope of the assessment is clearly defined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Description of the healthcare technology properly represents its features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 in this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10"/>
    <w:p>
      <w:pPr>
        <w:spacing w:after="0"/>
        <w:ind w:left="0"/>
        <w:jc w:val="both"/>
      </w:pPr>
      <w:r>
        <w:rPr>
          <w:rFonts w:ascii="Times New Roman"/>
          <w:b w:val="false"/>
          <w:i w:val="false"/>
          <w:color w:val="000000"/>
          <w:sz w:val="28"/>
        </w:rPr>
        <w:t xml:space="preserve">
      III. Methodology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Data on information sources and literature search strategies are provided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strategy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Trustworthy databases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Search period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Limitations of language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sources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information sources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1"/>
    <w:p>
      <w:pPr>
        <w:spacing w:after="0"/>
        <w:ind w:left="0"/>
        <w:jc w:val="both"/>
      </w:pPr>
      <w:r>
        <w:rPr>
          <w:rFonts w:ascii="Times New Roman"/>
          <w:b w:val="false"/>
          <w:i w:val="false"/>
          <w:color w:val="000000"/>
          <w:sz w:val="28"/>
        </w:rPr>
        <w:t>
      Note:</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list of studies included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excluded studies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criteria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Exclusion criteria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Information based on the assessment and interpretation of individual data and information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 of data extraction is described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critical assessment method is described (for assessing the quality of literature)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data synthesis method is described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results are clearly presented, for example, in the form of proof tables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2"/>
    <w:p>
      <w:pPr>
        <w:spacing w:after="0"/>
        <w:ind w:left="0"/>
        <w:jc w:val="both"/>
      </w:pPr>
      <w:r>
        <w:rPr>
          <w:rFonts w:ascii="Times New Roman"/>
          <w:b w:val="false"/>
          <w:i w:val="false"/>
          <w:color w:val="000000"/>
          <w:sz w:val="28"/>
        </w:rPr>
        <w:t>
      Note:</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 in this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both"/>
      </w:pPr>
      <w:r>
        <w:rPr>
          <w:rFonts w:ascii="Times New Roman"/>
          <w:b w:val="false"/>
          <w:i w:val="false"/>
          <w:color w:val="000000"/>
          <w:sz w:val="28"/>
        </w:rPr>
        <w:t>
      IV. Assessment aspects (some aspects may be ignored, depending on the HTA objectives)</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Medical-legal implications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analysis is presented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Ethical implications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implications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perspectives were considered (interested parties, patients, consumers)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4"/>
    <w:p>
      <w:pPr>
        <w:spacing w:after="0"/>
        <w:ind w:left="0"/>
        <w:jc w:val="both"/>
      </w:pPr>
      <w:r>
        <w:rPr>
          <w:rFonts w:ascii="Times New Roman"/>
          <w:b w:val="false"/>
          <w:i w:val="false"/>
          <w:color w:val="000000"/>
          <w:sz w:val="28"/>
        </w:rPr>
        <w:t>
      Note:</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 in this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or (__)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both"/>
      </w:pPr>
      <w:r>
        <w:rPr>
          <w:rFonts w:ascii="Times New Roman"/>
          <w:b w:val="false"/>
          <w:i w:val="false"/>
          <w:color w:val="000000"/>
          <w:sz w:val="28"/>
        </w:rPr>
        <w:t xml:space="preserve">
      V. Resume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Sufficient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Insufficient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The opinion is worded clearly and comprehensibly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The findings of the assessment are substantiated and supported by relevant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Suggestions for further action regarding the technology are available and stem from the opinion and conclusions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6"/>
    <w:p>
      <w:pPr>
        <w:spacing w:after="0"/>
        <w:ind w:left="0"/>
        <w:jc w:val="both"/>
      </w:pPr>
      <w:r>
        <w:rPr>
          <w:rFonts w:ascii="Times New Roman"/>
          <w:b w:val="false"/>
          <w:i w:val="false"/>
          <w:color w:val="000000"/>
          <w:sz w:val="28"/>
        </w:rPr>
        <w:t>
      Note:</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 in this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“O”-marked cell indicators are rated on a scale of 5 to 1 points: 5 - fully consistent; 4 – consistent; 3-partly consistent; 2- inconsistent for many key points; 1 - fully inconsistent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w:t>
            </w:r>
            <w:r>
              <w:br/>
            </w:r>
            <w:r>
              <w:rPr>
                <w:rFonts w:ascii="Times New Roman"/>
                <w:b w:val="false"/>
                <w:i w:val="false"/>
                <w:color w:val="000000"/>
                <w:sz w:val="20"/>
              </w:rPr>
              <w:t>the Rules for healthcare</w:t>
            </w:r>
            <w:r>
              <w:br/>
            </w:r>
            <w:r>
              <w:rPr>
                <w:rFonts w:ascii="Times New Roman"/>
                <w:b w:val="false"/>
                <w:i w:val="false"/>
                <w:color w:val="000000"/>
                <w:sz w:val="20"/>
              </w:rPr>
              <w:t>technology assessment</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Application for conducting healthcare technology assessment </w:t>
      </w:r>
    </w:p>
    <w:p>
      <w:pPr>
        <w:spacing w:after="0"/>
        <w:ind w:left="0"/>
        <w:jc w:val="both"/>
      </w:pPr>
      <w:r>
        <w:rPr>
          <w:rFonts w:ascii="Times New Roman"/>
          <w:b w:val="false"/>
          <w:i w:val="false"/>
          <w:color w:val="000000"/>
          <w:sz w:val="28"/>
        </w:rPr>
        <w:t xml:space="preserve">Information on the applicant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company:</w:t>
            </w:r>
          </w:p>
          <w:p>
            <w:pPr>
              <w:spacing w:after="20"/>
              <w:ind w:left="20"/>
              <w:jc w:val="both"/>
            </w:pPr>
            <w:r>
              <w:rPr>
                <w:rFonts w:ascii="Times New Roman"/>
                <w:b w:val="false"/>
                <w:i w:val="false"/>
                <w:color w:val="000000"/>
                <w:sz w:val="20"/>
              </w:rPr>
              <w:t>
Surname, name, patronymic (if any) of the head:</w:t>
            </w:r>
          </w:p>
          <w:p>
            <w:pPr>
              <w:spacing w:after="20"/>
              <w:ind w:left="20"/>
              <w:jc w:val="both"/>
            </w:pPr>
            <w:r>
              <w:rPr>
                <w:rFonts w:ascii="Times New Roman"/>
                <w:b w:val="false"/>
                <w:i w:val="false"/>
                <w:color w:val="000000"/>
                <w:sz w:val="20"/>
              </w:rPr>
              <w:t>
BIN:</w:t>
            </w:r>
          </w:p>
          <w:p>
            <w:pPr>
              <w:spacing w:after="20"/>
              <w:ind w:left="20"/>
              <w:jc w:val="both"/>
            </w:pPr>
            <w:r>
              <w:rPr>
                <w:rFonts w:ascii="Times New Roman"/>
                <w:b w:val="false"/>
                <w:i w:val="false"/>
                <w:color w:val="000000"/>
                <w:sz w:val="20"/>
              </w:rPr>
              <w:t>
Surname, name, patronymic (if any) of the contact person for the issues related to the claimed healthcare technology: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IIN:</w:t>
            </w:r>
          </w:p>
          <w:p>
            <w:pPr>
              <w:spacing w:after="20"/>
              <w:ind w:left="20"/>
              <w:jc w:val="both"/>
            </w:pPr>
            <w:r>
              <w:rPr>
                <w:rFonts w:ascii="Times New Roman"/>
                <w:b w:val="false"/>
                <w:i w:val="false"/>
                <w:color w:val="000000"/>
                <w:sz w:val="20"/>
              </w:rPr>
              <w:t>
ID number:</w:t>
            </w:r>
          </w:p>
          <w:p>
            <w:pPr>
              <w:spacing w:after="20"/>
              <w:ind w:left="20"/>
              <w:jc w:val="both"/>
            </w:pPr>
            <w:r>
              <w:rPr>
                <w:rFonts w:ascii="Times New Roman"/>
                <w:b w:val="false"/>
                <w:i w:val="false"/>
                <w:color w:val="000000"/>
                <w:sz w:val="20"/>
              </w:rPr>
              <w:t>
Issued by and when: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Fax: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xml:space="preserve">
      The objective of the healthcare technology assessment: </w:t>
      </w:r>
    </w:p>
    <w:p>
      <w:pPr>
        <w:spacing w:after="0"/>
        <w:ind w:left="0"/>
        <w:jc w:val="both"/>
      </w:pPr>
      <w:r>
        <w:rPr>
          <w:rFonts w:ascii="Times New Roman"/>
          <w:b w:val="false"/>
          <w:i w:val="false"/>
          <w:color w:val="000000"/>
          <w:sz w:val="28"/>
        </w:rPr>
        <w:t xml:space="preserve">
      1) approval of the claimed healthcare technology; </w:t>
      </w:r>
    </w:p>
    <w:p>
      <w:pPr>
        <w:spacing w:after="0"/>
        <w:ind w:left="0"/>
        <w:jc w:val="both"/>
      </w:pPr>
      <w:r>
        <w:rPr>
          <w:rFonts w:ascii="Times New Roman"/>
          <w:b w:val="false"/>
          <w:i w:val="false"/>
          <w:color w:val="000000"/>
          <w:sz w:val="28"/>
        </w:rPr>
        <w:t>
      2) inclusion of the claimed healthcare technology in the compensation lists;</w:t>
      </w:r>
    </w:p>
    <w:p>
      <w:pPr>
        <w:spacing w:after="0"/>
        <w:ind w:left="0"/>
        <w:jc w:val="both"/>
      </w:pPr>
      <w:r>
        <w:rPr>
          <w:rFonts w:ascii="Times New Roman"/>
          <w:b w:val="false"/>
          <w:i w:val="false"/>
          <w:color w:val="000000"/>
          <w:sz w:val="28"/>
        </w:rPr>
        <w:t>
      3) other (indicate).</w:t>
      </w:r>
    </w:p>
    <w:bookmarkStart w:name="z123" w:id="117"/>
    <w:p>
      <w:pPr>
        <w:spacing w:after="0"/>
        <w:ind w:left="0"/>
        <w:jc w:val="left"/>
      </w:pPr>
      <w:r>
        <w:rPr>
          <w:rFonts w:ascii="Times New Roman"/>
          <w:b/>
          <w:i w:val="false"/>
          <w:color w:val="000000"/>
        </w:rPr>
        <w:t xml:space="preserve"> Information on the healthcare technology </w:t>
      </w:r>
    </w:p>
    <w:bookmarkEnd w:id="117"/>
    <w:bookmarkStart w:name="z124" w:id="118"/>
    <w:p>
      <w:pPr>
        <w:spacing w:after="0"/>
        <w:ind w:left="0"/>
        <w:jc w:val="both"/>
      </w:pPr>
      <w:r>
        <w:rPr>
          <w:rFonts w:ascii="Times New Roman"/>
          <w:b w:val="false"/>
          <w:i w:val="false"/>
          <w:color w:val="000000"/>
          <w:sz w:val="28"/>
        </w:rPr>
        <w:t>
      1. Name of healthcare technology</w:t>
      </w:r>
    </w:p>
    <w:bookmarkEnd w:id="118"/>
    <w:bookmarkStart w:name="z125" w:id="119"/>
    <w:p>
      <w:pPr>
        <w:spacing w:after="0"/>
        <w:ind w:left="0"/>
        <w:jc w:val="both"/>
      </w:pPr>
      <w:r>
        <w:rPr>
          <w:rFonts w:ascii="Times New Roman"/>
          <w:b w:val="false"/>
          <w:i w:val="false"/>
          <w:color w:val="000000"/>
          <w:sz w:val="28"/>
        </w:rPr>
        <w:t>
      2. Indication (s) for the use of the healthcare technology (indicating the code of the International Classification of Diseases, if applicable)</w:t>
      </w:r>
    </w:p>
    <w:bookmarkEnd w:id="119"/>
    <w:bookmarkStart w:name="z126" w:id="120"/>
    <w:p>
      <w:pPr>
        <w:spacing w:after="0"/>
        <w:ind w:left="0"/>
        <w:jc w:val="both"/>
      </w:pPr>
      <w:r>
        <w:rPr>
          <w:rFonts w:ascii="Times New Roman"/>
          <w:b w:val="false"/>
          <w:i w:val="false"/>
          <w:color w:val="000000"/>
          <w:sz w:val="28"/>
        </w:rPr>
        <w:t xml:space="preserve">
      3. The burden of disease (condition), which is an indication for the use of the claimed technology in Kazakhstan (for example, morbidity and prevalence, mortality, incapacitation and disability, impact on quality of life) with links to sources </w:t>
      </w:r>
    </w:p>
    <w:bookmarkEnd w:id="120"/>
    <w:bookmarkStart w:name="z127" w:id="121"/>
    <w:p>
      <w:pPr>
        <w:spacing w:after="0"/>
        <w:ind w:left="0"/>
        <w:jc w:val="both"/>
      </w:pPr>
      <w:r>
        <w:rPr>
          <w:rFonts w:ascii="Times New Roman"/>
          <w:b w:val="false"/>
          <w:i w:val="false"/>
          <w:color w:val="000000"/>
          <w:sz w:val="28"/>
        </w:rPr>
        <w:t xml:space="preserve">
      4. Target population (for example, patients with atrial fibrillation refractory to drug therapy) </w:t>
      </w:r>
    </w:p>
    <w:bookmarkEnd w:id="121"/>
    <w:bookmarkStart w:name="z128" w:id="122"/>
    <w:p>
      <w:pPr>
        <w:spacing w:after="0"/>
        <w:ind w:left="0"/>
        <w:jc w:val="both"/>
      </w:pPr>
      <w:r>
        <w:rPr>
          <w:rFonts w:ascii="Times New Roman"/>
          <w:b w:val="false"/>
          <w:i w:val="false"/>
          <w:color w:val="000000"/>
          <w:sz w:val="28"/>
        </w:rPr>
        <w:t>
      5. Information on alternative healthcare technologies most frequently used (established clinical practice) for the claimed indication (s) (if available, indicate the code from the Tariff list for medical services within the guaranteed volume of free medical care and (or) the DRG list and (or) Types of high-tech medical services) indicating the cost with links to sources.</w:t>
      </w:r>
    </w:p>
    <w:bookmarkEnd w:id="122"/>
    <w:bookmarkStart w:name="z129" w:id="123"/>
    <w:p>
      <w:pPr>
        <w:spacing w:after="0"/>
        <w:ind w:left="0"/>
        <w:jc w:val="both"/>
      </w:pPr>
      <w:r>
        <w:rPr>
          <w:rFonts w:ascii="Times New Roman"/>
          <w:b w:val="false"/>
          <w:i w:val="false"/>
          <w:color w:val="000000"/>
          <w:sz w:val="28"/>
        </w:rPr>
        <w:t xml:space="preserve">
      6. The claimed healthcare technology is offered in exchange for or in addition to current practice. </w:t>
      </w:r>
    </w:p>
    <w:bookmarkEnd w:id="123"/>
    <w:bookmarkStart w:name="z130" w:id="124"/>
    <w:p>
      <w:pPr>
        <w:spacing w:after="0"/>
        <w:ind w:left="0"/>
        <w:jc w:val="both"/>
      </w:pPr>
      <w:r>
        <w:rPr>
          <w:rFonts w:ascii="Times New Roman"/>
          <w:b w:val="false"/>
          <w:i w:val="false"/>
          <w:color w:val="000000"/>
          <w:sz w:val="28"/>
        </w:rPr>
        <w:t>
      7. Brief description of the claimed healthcare technology (the essence of the technology, doses, frequency of use, technique, diagnostic criteria, sensitivity (for diagnostic methods).</w:t>
      </w:r>
    </w:p>
    <w:bookmarkEnd w:id="124"/>
    <w:bookmarkStart w:name="z131" w:id="125"/>
    <w:p>
      <w:pPr>
        <w:spacing w:after="0"/>
        <w:ind w:left="0"/>
        <w:jc w:val="both"/>
      </w:pPr>
      <w:r>
        <w:rPr>
          <w:rFonts w:ascii="Times New Roman"/>
          <w:b w:val="false"/>
          <w:i w:val="false"/>
          <w:color w:val="000000"/>
          <w:sz w:val="28"/>
        </w:rPr>
        <w:t xml:space="preserve">
      8. How it will impact the healthcare system and (or) expected results: primary and secondary ones (increase in the disease detection rate or improvement of a therapy choice process or reducing side effects). </w:t>
      </w:r>
    </w:p>
    <w:bookmarkEnd w:id="125"/>
    <w:bookmarkStart w:name="z132" w:id="126"/>
    <w:p>
      <w:pPr>
        <w:spacing w:after="0"/>
        <w:ind w:left="0"/>
        <w:jc w:val="both"/>
      </w:pPr>
      <w:r>
        <w:rPr>
          <w:rFonts w:ascii="Times New Roman"/>
          <w:b w:val="false"/>
          <w:i w:val="false"/>
          <w:color w:val="000000"/>
          <w:sz w:val="28"/>
        </w:rPr>
        <w:t xml:space="preserve">
      9. The need for the claimed technology (for example, the lack of alternative methods of treatment or the number of patients per year in need of the claimed technology) </w:t>
      </w:r>
    </w:p>
    <w:bookmarkEnd w:id="126"/>
    <w:bookmarkStart w:name="z133" w:id="127"/>
    <w:p>
      <w:pPr>
        <w:spacing w:after="0"/>
        <w:ind w:left="0"/>
        <w:jc w:val="both"/>
      </w:pPr>
      <w:r>
        <w:rPr>
          <w:rFonts w:ascii="Times New Roman"/>
          <w:b w:val="false"/>
          <w:i w:val="false"/>
          <w:color w:val="000000"/>
          <w:sz w:val="28"/>
        </w:rPr>
        <w:t xml:space="preserve">
      10. Information on the registration of pharmaceuticals and medical devices (if applicable), number and term of the registration. </w:t>
      </w:r>
    </w:p>
    <w:bookmarkEnd w:id="127"/>
    <w:bookmarkStart w:name="z134" w:id="128"/>
    <w:p>
      <w:pPr>
        <w:spacing w:after="0"/>
        <w:ind w:left="0"/>
        <w:jc w:val="both"/>
      </w:pPr>
      <w:r>
        <w:rPr>
          <w:rFonts w:ascii="Times New Roman"/>
          <w:b w:val="false"/>
          <w:i w:val="false"/>
          <w:color w:val="000000"/>
          <w:sz w:val="28"/>
        </w:rPr>
        <w:t>
      11. The advantages of the claimed technology.</w:t>
      </w:r>
    </w:p>
    <w:bookmarkEnd w:id="128"/>
    <w:bookmarkStart w:name="z135" w:id="129"/>
    <w:p>
      <w:pPr>
        <w:spacing w:after="0"/>
        <w:ind w:left="0"/>
        <w:jc w:val="both"/>
      </w:pPr>
      <w:r>
        <w:rPr>
          <w:rFonts w:ascii="Times New Roman"/>
          <w:b w:val="false"/>
          <w:i w:val="false"/>
          <w:color w:val="000000"/>
          <w:sz w:val="28"/>
        </w:rPr>
        <w:t xml:space="preserve">
      12. The disadvantages and (or) limitations of the claimed technology. </w:t>
      </w:r>
    </w:p>
    <w:bookmarkEnd w:id="129"/>
    <w:bookmarkStart w:name="z136" w:id="130"/>
    <w:p>
      <w:pPr>
        <w:spacing w:after="0"/>
        <w:ind w:left="0"/>
        <w:jc w:val="both"/>
      </w:pPr>
      <w:r>
        <w:rPr>
          <w:rFonts w:ascii="Times New Roman"/>
          <w:b w:val="false"/>
          <w:i w:val="false"/>
          <w:color w:val="000000"/>
          <w:sz w:val="28"/>
        </w:rPr>
        <w:t xml:space="preserve">
      13. Experience in the application of the claimed technology with links to sources according to the table: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in progress or completed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Widely applied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by clinical practice guidelines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31"/>
    <w:p>
      <w:pPr>
        <w:spacing w:after="0"/>
        <w:ind w:left="0"/>
        <w:jc w:val="both"/>
      </w:pPr>
      <w:r>
        <w:rPr>
          <w:rFonts w:ascii="Times New Roman"/>
          <w:b w:val="false"/>
          <w:i w:val="false"/>
          <w:color w:val="000000"/>
          <w:sz w:val="28"/>
        </w:rPr>
        <w:t>
      Technology cost information</w:t>
      </w:r>
    </w:p>
    <w:bookmarkEnd w:id="131"/>
    <w:bookmarkStart w:name="z138" w:id="132"/>
    <w:p>
      <w:pPr>
        <w:spacing w:after="0"/>
        <w:ind w:left="0"/>
        <w:jc w:val="both"/>
      </w:pPr>
      <w:r>
        <w:rPr>
          <w:rFonts w:ascii="Times New Roman"/>
          <w:b w:val="false"/>
          <w:i w:val="false"/>
          <w:color w:val="000000"/>
          <w:sz w:val="28"/>
        </w:rPr>
        <w:t>
      14. Technology costs according to the table (with links):</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costs for medical personnel + social contributions per unit of service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Consumables, pharmaceuticals, chemical agents, medical dressing, disposable supplies and medical services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3"/>
    <w:p>
      <w:pPr>
        <w:spacing w:after="0"/>
        <w:ind w:left="0"/>
        <w:jc w:val="both"/>
      </w:pPr>
      <w:r>
        <w:rPr>
          <w:rFonts w:ascii="Times New Roman"/>
          <w:b w:val="false"/>
          <w:i w:val="false"/>
          <w:color w:val="000000"/>
          <w:sz w:val="28"/>
        </w:rPr>
        <w:t xml:space="preserve">
      15. Information on the full market value of the application of the claimed technology with the calculations. </w:t>
      </w:r>
    </w:p>
    <w:bookmarkEnd w:id="133"/>
    <w:bookmarkStart w:name="z140" w:id="134"/>
    <w:p>
      <w:pPr>
        <w:spacing w:after="0"/>
        <w:ind w:left="0"/>
        <w:jc w:val="both"/>
      </w:pPr>
      <w:r>
        <w:rPr>
          <w:rFonts w:ascii="Times New Roman"/>
          <w:b w:val="false"/>
          <w:i w:val="false"/>
          <w:color w:val="000000"/>
          <w:sz w:val="28"/>
        </w:rPr>
        <w:t xml:space="preserve">
      16. The list of publications and (or) studies on the clinical effectiveness of the technology according to the table: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w:t>
            </w:r>
          </w:p>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evidence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 size  with (95% CI and (or) p-value)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5"/>
    <w:p>
      <w:pPr>
        <w:spacing w:after="0"/>
        <w:ind w:left="0"/>
        <w:jc w:val="both"/>
      </w:pPr>
      <w:r>
        <w:rPr>
          <w:rFonts w:ascii="Times New Roman"/>
          <w:b w:val="false"/>
          <w:i w:val="false"/>
          <w:color w:val="000000"/>
          <w:sz w:val="28"/>
        </w:rPr>
        <w:t xml:space="preserve">
      a. list of studies with titles, for example, Smith (2007) with links. </w:t>
      </w:r>
    </w:p>
    <w:bookmarkEnd w:id="135"/>
    <w:bookmarkStart w:name="z142" w:id="136"/>
    <w:p>
      <w:pPr>
        <w:spacing w:after="0"/>
        <w:ind w:left="0"/>
        <w:jc w:val="both"/>
      </w:pPr>
      <w:r>
        <w:rPr>
          <w:rFonts w:ascii="Times New Roman"/>
          <w:b w:val="false"/>
          <w:i w:val="false"/>
          <w:color w:val="000000"/>
          <w:sz w:val="28"/>
        </w:rPr>
        <w:t>
      b. list of patients who can be included in the study and the number of patients included in the study.</w:t>
      </w:r>
    </w:p>
    <w:bookmarkEnd w:id="136"/>
    <w:bookmarkStart w:name="z143" w:id="137"/>
    <w:p>
      <w:pPr>
        <w:spacing w:after="0"/>
        <w:ind w:left="0"/>
        <w:jc w:val="both"/>
      </w:pPr>
      <w:r>
        <w:rPr>
          <w:rFonts w:ascii="Times New Roman"/>
          <w:b w:val="false"/>
          <w:i w:val="false"/>
          <w:color w:val="000000"/>
          <w:sz w:val="28"/>
        </w:rPr>
        <w:t xml:space="preserve">
      c. cumulative effect (for example, the possibility of discrepancies in results, relative risk, odds ratio) of the impact of the new technology and the implications of an alternative treatment method, if any, or in the absence of comparative evidence, the effect without treatment or using placebo. </w:t>
      </w:r>
    </w:p>
    <w:bookmarkEnd w:id="137"/>
    <w:bookmarkStart w:name="z144" w:id="138"/>
    <w:p>
      <w:pPr>
        <w:spacing w:after="0"/>
        <w:ind w:left="0"/>
        <w:jc w:val="both"/>
      </w:pPr>
      <w:r>
        <w:rPr>
          <w:rFonts w:ascii="Times New Roman"/>
          <w:b w:val="false"/>
          <w:i w:val="false"/>
          <w:color w:val="000000"/>
          <w:sz w:val="28"/>
        </w:rPr>
        <w:t xml:space="preserve">
      17. The list of publications and (or) studies (of technology safety) according to the table: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w:t>
            </w:r>
          </w:p>
          <w:p>
            <w:pPr>
              <w:spacing w:after="20"/>
              <w:ind w:left="20"/>
              <w:jc w:val="both"/>
            </w:pPr>
            <w:r>
              <w:rPr>
                <w:rFonts w:ascii="Times New Roman"/>
                <w:b w:val="false"/>
                <w:i w:val="false"/>
                <w:color w:val="000000"/>
                <w:sz w:val="20"/>
              </w:rPr>
              <w:t>
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evidence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CI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CI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9"/>
    <w:p>
      <w:pPr>
        <w:spacing w:after="0"/>
        <w:ind w:left="0"/>
        <w:jc w:val="both"/>
      </w:pPr>
      <w:r>
        <w:rPr>
          <w:rFonts w:ascii="Times New Roman"/>
          <w:b w:val="false"/>
          <w:i w:val="false"/>
          <w:color w:val="000000"/>
          <w:sz w:val="28"/>
        </w:rPr>
        <w:t xml:space="preserve">
      a. list of studies with titles, for example, Smith (2007) with links. </w:t>
      </w:r>
    </w:p>
    <w:bookmarkEnd w:id="139"/>
    <w:bookmarkStart w:name="z146" w:id="140"/>
    <w:p>
      <w:pPr>
        <w:spacing w:after="0"/>
        <w:ind w:left="0"/>
        <w:jc w:val="both"/>
      </w:pPr>
      <w:r>
        <w:rPr>
          <w:rFonts w:ascii="Times New Roman"/>
          <w:b w:val="false"/>
          <w:i w:val="false"/>
          <w:color w:val="000000"/>
          <w:sz w:val="28"/>
        </w:rPr>
        <w:t>
      b. number of population and number of patients included in the study</w:t>
      </w:r>
    </w:p>
    <w:bookmarkEnd w:id="140"/>
    <w:bookmarkStart w:name="z147" w:id="141"/>
    <w:p>
      <w:pPr>
        <w:spacing w:after="0"/>
        <w:ind w:left="0"/>
        <w:jc w:val="both"/>
      </w:pPr>
      <w:r>
        <w:rPr>
          <w:rFonts w:ascii="Times New Roman"/>
          <w:b w:val="false"/>
          <w:i w:val="false"/>
          <w:color w:val="000000"/>
          <w:sz w:val="28"/>
        </w:rPr>
        <w:t>
      c. list of major and minor side effects indicated in the studies</w:t>
      </w:r>
    </w:p>
    <w:bookmarkEnd w:id="141"/>
    <w:bookmarkStart w:name="z148" w:id="142"/>
    <w:p>
      <w:pPr>
        <w:spacing w:after="0"/>
        <w:ind w:left="0"/>
        <w:jc w:val="both"/>
      </w:pPr>
      <w:r>
        <w:rPr>
          <w:rFonts w:ascii="Times New Roman"/>
          <w:b w:val="false"/>
          <w:i w:val="false"/>
          <w:color w:val="000000"/>
          <w:sz w:val="28"/>
        </w:rPr>
        <w:t>
      d. n= number of patients with results, N = number of patients included in the study</w:t>
      </w:r>
    </w:p>
    <w:bookmarkEnd w:id="142"/>
    <w:bookmarkStart w:name="z149" w:id="143"/>
    <w:p>
      <w:pPr>
        <w:spacing w:after="0"/>
        <w:ind w:left="0"/>
        <w:jc w:val="both"/>
      </w:pPr>
      <w:r>
        <w:rPr>
          <w:rFonts w:ascii="Times New Roman"/>
          <w:b w:val="false"/>
          <w:i w:val="false"/>
          <w:color w:val="000000"/>
          <w:sz w:val="28"/>
        </w:rPr>
        <w:t>
      18. If the claimed technology is a diagnostic method according to the table:</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w:t>
            </w:r>
          </w:p>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evidence and study design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prevalence among the population under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Success rate (for example, sensitivity, specificity and accuracy) [95% CI]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4"/>
    <w:p>
      <w:pPr>
        <w:spacing w:after="0"/>
        <w:ind w:left="0"/>
        <w:jc w:val="both"/>
      </w:pPr>
      <w:r>
        <w:rPr>
          <w:rFonts w:ascii="Times New Roman"/>
          <w:b w:val="false"/>
          <w:i w:val="false"/>
          <w:color w:val="000000"/>
          <w:sz w:val="28"/>
        </w:rPr>
        <w:t>
      a. list of studies with titles, for example, Smith (2007).</w:t>
      </w:r>
    </w:p>
    <w:bookmarkEnd w:id="144"/>
    <w:bookmarkStart w:name="z151" w:id="145"/>
    <w:p>
      <w:pPr>
        <w:spacing w:after="0"/>
        <w:ind w:left="0"/>
        <w:jc w:val="both"/>
      </w:pPr>
      <w:r>
        <w:rPr>
          <w:rFonts w:ascii="Times New Roman"/>
          <w:b w:val="false"/>
          <w:i w:val="false"/>
          <w:color w:val="000000"/>
          <w:sz w:val="28"/>
        </w:rPr>
        <w:t>
      b. list of patients who can be included in the study and the number of patients included in the study</w:t>
      </w:r>
    </w:p>
    <w:bookmarkEnd w:id="145"/>
    <w:bookmarkStart w:name="z152" w:id="146"/>
    <w:p>
      <w:pPr>
        <w:spacing w:after="0"/>
        <w:ind w:left="0"/>
        <w:jc w:val="both"/>
      </w:pPr>
      <w:r>
        <w:rPr>
          <w:rFonts w:ascii="Times New Roman"/>
          <w:b w:val="false"/>
          <w:i w:val="false"/>
          <w:color w:val="000000"/>
          <w:sz w:val="28"/>
        </w:rPr>
        <w:t>
      19. The results of the economical evaluation of the claimed technology.</w:t>
      </w:r>
    </w:p>
    <w:bookmarkEnd w:id="146"/>
    <w:bookmarkStart w:name="z153" w:id="147"/>
    <w:p>
      <w:pPr>
        <w:spacing w:after="0"/>
        <w:ind w:left="0"/>
        <w:jc w:val="both"/>
      </w:pPr>
      <w:r>
        <w:rPr>
          <w:rFonts w:ascii="Times New Roman"/>
          <w:b w:val="false"/>
          <w:i w:val="false"/>
          <w:color w:val="000000"/>
          <w:sz w:val="28"/>
        </w:rPr>
        <w:t>
      20. The indirect and social costs of the new technology (for example, the time spent by the patient, the costs associated with delaying recovery). For diagnostic tests, it is important to include the treatment of false-positive cases, delays in the treatment of false-negative cases, and the treatment of complications of undetermined diseases.</w:t>
      </w:r>
    </w:p>
    <w:bookmarkEnd w:id="147"/>
    <w:bookmarkStart w:name="z154" w:id="148"/>
    <w:p>
      <w:pPr>
        <w:spacing w:after="0"/>
        <w:ind w:left="0"/>
        <w:jc w:val="both"/>
      </w:pPr>
      <w:r>
        <w:rPr>
          <w:rFonts w:ascii="Times New Roman"/>
          <w:b w:val="false"/>
          <w:i w:val="false"/>
          <w:color w:val="000000"/>
          <w:sz w:val="28"/>
        </w:rPr>
        <w:t xml:space="preserve">
      Applicant: ______________________ I guarantee the accuracy and completeness of the information contained in the materials of the application for conducting the healthcare technology assessment </w:t>
      </w:r>
    </w:p>
    <w:bookmarkEnd w:id="148"/>
    <w:bookmarkStart w:name="z155" w:id="149"/>
    <w:p>
      <w:pPr>
        <w:spacing w:after="0"/>
        <w:ind w:left="0"/>
        <w:jc w:val="both"/>
      </w:pPr>
      <w:r>
        <w:rPr>
          <w:rFonts w:ascii="Times New Roman"/>
          <w:b w:val="false"/>
          <w:i w:val="false"/>
          <w:color w:val="000000"/>
          <w:sz w:val="28"/>
        </w:rPr>
        <w:t>
      Date of completion: _________Signature of the Applicant *  "____" ______ 20_____.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w:t>
            </w:r>
            <w:r>
              <w:br/>
            </w:r>
            <w:r>
              <w:rPr>
                <w:rFonts w:ascii="Times New Roman"/>
                <w:b w:val="false"/>
                <w:i w:val="false"/>
                <w:color w:val="000000"/>
                <w:sz w:val="20"/>
              </w:rPr>
              <w:t>the Rules for healthcare</w:t>
            </w:r>
            <w:r>
              <w:br/>
            </w:r>
            <w:r>
              <w:rPr>
                <w:rFonts w:ascii="Times New Roman"/>
                <w:b w:val="false"/>
                <w:i w:val="false"/>
                <w:color w:val="000000"/>
                <w:sz w:val="20"/>
              </w:rPr>
              <w:t>technology assessment</w:t>
            </w:r>
            <w:r>
              <w:br/>
            </w:r>
            <w:r>
              <w:rPr>
                <w:rFonts w:ascii="Times New Roman"/>
                <w:b w:val="false"/>
                <w:i w:val="false"/>
                <w:color w:val="000000"/>
                <w:sz w:val="20"/>
              </w:rPr>
              <w:t xml:space="preserve">Form </w:t>
            </w:r>
          </w:p>
        </w:tc>
      </w:tr>
    </w:tbl>
    <w:bookmarkStart w:name="z157" w:id="150"/>
    <w:p>
      <w:pPr>
        <w:spacing w:after="0"/>
        <w:ind w:left="0"/>
        <w:jc w:val="left"/>
      </w:pPr>
      <w:r>
        <w:rPr>
          <w:rFonts w:ascii="Times New Roman"/>
          <w:b/>
          <w:i w:val="false"/>
          <w:color w:val="000000"/>
        </w:rPr>
        <w:t xml:space="preserve"> Healthcare technology assessment report</w:t>
      </w:r>
    </w:p>
    <w:bookmarkEnd w:id="150"/>
    <w:bookmarkStart w:name="z158" w:id="151"/>
    <w:p>
      <w:pPr>
        <w:spacing w:after="0"/>
        <w:ind w:left="0"/>
        <w:jc w:val="both"/>
      </w:pPr>
      <w:r>
        <w:rPr>
          <w:rFonts w:ascii="Times New Roman"/>
          <w:b w:val="false"/>
          <w:i w:val="false"/>
          <w:color w:val="000000"/>
          <w:sz w:val="28"/>
        </w:rPr>
        <w:t>
      The healthcare technology assessment report consists of the following details:</w:t>
      </w:r>
    </w:p>
    <w:bookmarkEnd w:id="151"/>
    <w:bookmarkStart w:name="z159" w:id="152"/>
    <w:p>
      <w:pPr>
        <w:spacing w:after="0"/>
        <w:ind w:left="0"/>
        <w:jc w:val="both"/>
      </w:pPr>
      <w:r>
        <w:rPr>
          <w:rFonts w:ascii="Times New Roman"/>
          <w:b w:val="false"/>
          <w:i w:val="false"/>
          <w:color w:val="000000"/>
          <w:sz w:val="28"/>
        </w:rPr>
        <w:t>
      1) Front page:</w:t>
      </w:r>
    </w:p>
    <w:bookmarkEnd w:id="152"/>
    <w:bookmarkStart w:name="z160" w:id="153"/>
    <w:p>
      <w:pPr>
        <w:spacing w:after="0"/>
        <w:ind w:left="0"/>
        <w:jc w:val="both"/>
      </w:pPr>
      <w:r>
        <w:rPr>
          <w:rFonts w:ascii="Times New Roman"/>
          <w:b w:val="false"/>
          <w:i w:val="false"/>
          <w:color w:val="000000"/>
          <w:sz w:val="28"/>
        </w:rPr>
        <w:t>
      name of the performing organization;</w:t>
      </w:r>
    </w:p>
    <w:bookmarkEnd w:id="153"/>
    <w:bookmarkStart w:name="z161" w:id="154"/>
    <w:p>
      <w:pPr>
        <w:spacing w:after="0"/>
        <w:ind w:left="0"/>
        <w:jc w:val="both"/>
      </w:pPr>
      <w:r>
        <w:rPr>
          <w:rFonts w:ascii="Times New Roman"/>
          <w:b w:val="false"/>
          <w:i w:val="false"/>
          <w:color w:val="000000"/>
          <w:sz w:val="28"/>
        </w:rPr>
        <w:t>
      the report’s title;</w:t>
      </w:r>
    </w:p>
    <w:bookmarkEnd w:id="154"/>
    <w:bookmarkStart w:name="z162" w:id="155"/>
    <w:p>
      <w:pPr>
        <w:spacing w:after="0"/>
        <w:ind w:left="0"/>
        <w:jc w:val="both"/>
      </w:pPr>
      <w:r>
        <w:rPr>
          <w:rFonts w:ascii="Times New Roman"/>
          <w:b w:val="false"/>
          <w:i w:val="false"/>
          <w:color w:val="000000"/>
          <w:sz w:val="28"/>
        </w:rPr>
        <w:t>
      authors (position, specialty, academic rank);</w:t>
      </w:r>
    </w:p>
    <w:bookmarkEnd w:id="155"/>
    <w:bookmarkStart w:name="z163" w:id="156"/>
    <w:p>
      <w:pPr>
        <w:spacing w:after="0"/>
        <w:ind w:left="0"/>
        <w:jc w:val="both"/>
      </w:pPr>
      <w:r>
        <w:rPr>
          <w:rFonts w:ascii="Times New Roman"/>
          <w:b w:val="false"/>
          <w:i w:val="false"/>
          <w:color w:val="000000"/>
          <w:sz w:val="28"/>
        </w:rPr>
        <w:t>
      name of the client organization (ministry, university, medical facility);</w:t>
      </w:r>
    </w:p>
    <w:bookmarkEnd w:id="156"/>
    <w:bookmarkStart w:name="z164" w:id="157"/>
    <w:p>
      <w:pPr>
        <w:spacing w:after="0"/>
        <w:ind w:left="0"/>
        <w:jc w:val="both"/>
      </w:pPr>
      <w:r>
        <w:rPr>
          <w:rFonts w:ascii="Times New Roman"/>
          <w:b w:val="false"/>
          <w:i w:val="false"/>
          <w:color w:val="000000"/>
          <w:sz w:val="28"/>
        </w:rPr>
        <w:t>
      date of the report’s completion (month, year).</w:t>
      </w:r>
    </w:p>
    <w:bookmarkEnd w:id="157"/>
    <w:bookmarkStart w:name="z165" w:id="158"/>
    <w:p>
      <w:pPr>
        <w:spacing w:after="0"/>
        <w:ind w:left="0"/>
        <w:jc w:val="both"/>
      </w:pPr>
      <w:r>
        <w:rPr>
          <w:rFonts w:ascii="Times New Roman"/>
          <w:b w:val="false"/>
          <w:i w:val="false"/>
          <w:color w:val="000000"/>
          <w:sz w:val="28"/>
        </w:rPr>
        <w:t xml:space="preserve">
      2) Statement of conflicts of interest for authors and reviewers.  </w:t>
      </w:r>
    </w:p>
    <w:bookmarkEnd w:id="158"/>
    <w:bookmarkStart w:name="z166" w:id="159"/>
    <w:p>
      <w:pPr>
        <w:spacing w:after="0"/>
        <w:ind w:left="0"/>
        <w:jc w:val="both"/>
      </w:pPr>
      <w:r>
        <w:rPr>
          <w:rFonts w:ascii="Times New Roman"/>
          <w:b w:val="false"/>
          <w:i w:val="false"/>
          <w:color w:val="000000"/>
          <w:sz w:val="28"/>
        </w:rPr>
        <w:t>
      3) Brief information (structured, 1 page).</w:t>
      </w:r>
    </w:p>
    <w:bookmarkEnd w:id="159"/>
    <w:bookmarkStart w:name="z167" w:id="160"/>
    <w:p>
      <w:pPr>
        <w:spacing w:after="0"/>
        <w:ind w:left="0"/>
        <w:jc w:val="both"/>
      </w:pPr>
      <w:r>
        <w:rPr>
          <w:rFonts w:ascii="Times New Roman"/>
          <w:b w:val="false"/>
          <w:i w:val="false"/>
          <w:color w:val="000000"/>
          <w:sz w:val="28"/>
        </w:rPr>
        <w:t>
      4) Resume (structured, 2-3 pages).</w:t>
      </w:r>
    </w:p>
    <w:bookmarkEnd w:id="160"/>
    <w:bookmarkStart w:name="z168" w:id="161"/>
    <w:p>
      <w:pPr>
        <w:spacing w:after="0"/>
        <w:ind w:left="0"/>
        <w:jc w:val="both"/>
      </w:pPr>
      <w:r>
        <w:rPr>
          <w:rFonts w:ascii="Times New Roman"/>
          <w:b w:val="false"/>
          <w:i w:val="false"/>
          <w:color w:val="000000"/>
          <w:sz w:val="28"/>
        </w:rPr>
        <w:t>
      5) List of abbreviations and acronyms.</w:t>
      </w:r>
    </w:p>
    <w:bookmarkEnd w:id="161"/>
    <w:bookmarkStart w:name="z169" w:id="162"/>
    <w:p>
      <w:pPr>
        <w:spacing w:after="0"/>
        <w:ind w:left="0"/>
        <w:jc w:val="both"/>
      </w:pPr>
      <w:r>
        <w:rPr>
          <w:rFonts w:ascii="Times New Roman"/>
          <w:b w:val="false"/>
          <w:i w:val="false"/>
          <w:color w:val="000000"/>
          <w:sz w:val="28"/>
        </w:rPr>
        <w:t>
      6) Table of Contents.</w:t>
      </w:r>
    </w:p>
    <w:bookmarkEnd w:id="162"/>
    <w:bookmarkStart w:name="z170" w:id="163"/>
    <w:p>
      <w:pPr>
        <w:spacing w:after="0"/>
        <w:ind w:left="0"/>
        <w:jc w:val="both"/>
      </w:pPr>
      <w:r>
        <w:rPr>
          <w:rFonts w:ascii="Times New Roman"/>
          <w:b w:val="false"/>
          <w:i w:val="false"/>
          <w:color w:val="000000"/>
          <w:sz w:val="28"/>
        </w:rPr>
        <w:t>
      7) Chapter 1. Introduction:</w:t>
      </w:r>
    </w:p>
    <w:bookmarkEnd w:id="163"/>
    <w:bookmarkStart w:name="z171" w:id="164"/>
    <w:p>
      <w:pPr>
        <w:spacing w:after="0"/>
        <w:ind w:left="0"/>
        <w:jc w:val="both"/>
      </w:pPr>
      <w:r>
        <w:rPr>
          <w:rFonts w:ascii="Times New Roman"/>
          <w:b w:val="false"/>
          <w:i w:val="false"/>
          <w:color w:val="000000"/>
          <w:sz w:val="28"/>
        </w:rPr>
        <w:t>
      purpose of the report;</w:t>
      </w:r>
    </w:p>
    <w:bookmarkEnd w:id="164"/>
    <w:bookmarkStart w:name="z172" w:id="165"/>
    <w:p>
      <w:pPr>
        <w:spacing w:after="0"/>
        <w:ind w:left="0"/>
        <w:jc w:val="both"/>
      </w:pPr>
      <w:r>
        <w:rPr>
          <w:rFonts w:ascii="Times New Roman"/>
          <w:b w:val="false"/>
          <w:i w:val="false"/>
          <w:color w:val="000000"/>
          <w:sz w:val="28"/>
        </w:rPr>
        <w:t>
      research questions (PICO formula – Patient, Intervention, Comparison, Outcomes).</w:t>
      </w:r>
    </w:p>
    <w:bookmarkEnd w:id="165"/>
    <w:bookmarkStart w:name="z173" w:id="166"/>
    <w:p>
      <w:pPr>
        <w:spacing w:after="0"/>
        <w:ind w:left="0"/>
        <w:jc w:val="both"/>
      </w:pPr>
      <w:r>
        <w:rPr>
          <w:rFonts w:ascii="Times New Roman"/>
          <w:b w:val="false"/>
          <w:i w:val="false"/>
          <w:color w:val="000000"/>
          <w:sz w:val="28"/>
        </w:rPr>
        <w:t>
      8) Chapter 2. Background:</w:t>
      </w:r>
    </w:p>
    <w:bookmarkEnd w:id="166"/>
    <w:bookmarkStart w:name="z174" w:id="167"/>
    <w:p>
      <w:pPr>
        <w:spacing w:after="0"/>
        <w:ind w:left="0"/>
        <w:jc w:val="both"/>
      </w:pPr>
      <w:r>
        <w:rPr>
          <w:rFonts w:ascii="Times New Roman"/>
          <w:b w:val="false"/>
          <w:i w:val="false"/>
          <w:color w:val="000000"/>
          <w:sz w:val="28"/>
        </w:rPr>
        <w:t xml:space="preserve">
      description of the problem, including the use of epidemiological </w:t>
      </w:r>
    </w:p>
    <w:bookmarkEnd w:id="167"/>
    <w:bookmarkStart w:name="z175" w:id="168"/>
    <w:p>
      <w:pPr>
        <w:spacing w:after="0"/>
        <w:ind w:left="0"/>
        <w:jc w:val="both"/>
      </w:pPr>
      <w:r>
        <w:rPr>
          <w:rFonts w:ascii="Times New Roman"/>
          <w:b w:val="false"/>
          <w:i w:val="false"/>
          <w:color w:val="000000"/>
          <w:sz w:val="28"/>
        </w:rPr>
        <w:t>
      data (morbidity, prevalence, etc.);</w:t>
      </w:r>
    </w:p>
    <w:bookmarkEnd w:id="168"/>
    <w:bookmarkStart w:name="z176" w:id="169"/>
    <w:p>
      <w:pPr>
        <w:spacing w:after="0"/>
        <w:ind w:left="0"/>
        <w:jc w:val="both"/>
      </w:pPr>
      <w:r>
        <w:rPr>
          <w:rFonts w:ascii="Times New Roman"/>
          <w:b w:val="false"/>
          <w:i w:val="false"/>
          <w:color w:val="000000"/>
          <w:sz w:val="28"/>
        </w:rPr>
        <w:t>
      current situation in Kazakhstan (in the world);</w:t>
      </w:r>
    </w:p>
    <w:bookmarkEnd w:id="169"/>
    <w:bookmarkStart w:name="z177" w:id="170"/>
    <w:p>
      <w:pPr>
        <w:spacing w:after="0"/>
        <w:ind w:left="0"/>
        <w:jc w:val="both"/>
      </w:pPr>
      <w:r>
        <w:rPr>
          <w:rFonts w:ascii="Times New Roman"/>
          <w:b w:val="false"/>
          <w:i w:val="false"/>
          <w:color w:val="000000"/>
          <w:sz w:val="28"/>
        </w:rPr>
        <w:t>
      description of the technology.</w:t>
      </w:r>
    </w:p>
    <w:bookmarkEnd w:id="170"/>
    <w:bookmarkStart w:name="z178" w:id="171"/>
    <w:p>
      <w:pPr>
        <w:spacing w:after="0"/>
        <w:ind w:left="0"/>
        <w:jc w:val="both"/>
      </w:pPr>
      <w:r>
        <w:rPr>
          <w:rFonts w:ascii="Times New Roman"/>
          <w:b w:val="false"/>
          <w:i w:val="false"/>
          <w:color w:val="000000"/>
          <w:sz w:val="28"/>
        </w:rPr>
        <w:t>
      9) Chapter3. Clinical review: methods and results:</w:t>
      </w:r>
    </w:p>
    <w:bookmarkEnd w:id="171"/>
    <w:bookmarkStart w:name="z179" w:id="172"/>
    <w:p>
      <w:pPr>
        <w:spacing w:after="0"/>
        <w:ind w:left="0"/>
        <w:jc w:val="both"/>
      </w:pPr>
      <w:r>
        <w:rPr>
          <w:rFonts w:ascii="Times New Roman"/>
          <w:b w:val="false"/>
          <w:i w:val="false"/>
          <w:color w:val="000000"/>
          <w:sz w:val="28"/>
        </w:rPr>
        <w:t>
      clinical effectiveness search strategy;</w:t>
      </w:r>
    </w:p>
    <w:bookmarkEnd w:id="172"/>
    <w:bookmarkStart w:name="z180" w:id="173"/>
    <w:p>
      <w:pPr>
        <w:spacing w:after="0"/>
        <w:ind w:left="0"/>
        <w:jc w:val="both"/>
      </w:pPr>
      <w:r>
        <w:rPr>
          <w:rFonts w:ascii="Times New Roman"/>
          <w:b w:val="false"/>
          <w:i w:val="false"/>
          <w:color w:val="000000"/>
          <w:sz w:val="28"/>
        </w:rPr>
        <w:t>
      clinical review methods, including PICO and data;</w:t>
      </w:r>
    </w:p>
    <w:bookmarkEnd w:id="173"/>
    <w:bookmarkStart w:name="z181" w:id="174"/>
    <w:p>
      <w:pPr>
        <w:spacing w:after="0"/>
        <w:ind w:left="0"/>
        <w:jc w:val="both"/>
      </w:pPr>
      <w:r>
        <w:rPr>
          <w:rFonts w:ascii="Times New Roman"/>
          <w:b w:val="false"/>
          <w:i w:val="false"/>
          <w:color w:val="000000"/>
          <w:sz w:val="28"/>
        </w:rPr>
        <w:t>
      results:</w:t>
      </w:r>
    </w:p>
    <w:bookmarkEnd w:id="174"/>
    <w:bookmarkStart w:name="z182" w:id="175"/>
    <w:p>
      <w:pPr>
        <w:spacing w:after="0"/>
        <w:ind w:left="0"/>
        <w:jc w:val="both"/>
      </w:pPr>
      <w:r>
        <w:rPr>
          <w:rFonts w:ascii="Times New Roman"/>
          <w:b w:val="false"/>
          <w:i w:val="false"/>
          <w:color w:val="000000"/>
          <w:sz w:val="28"/>
        </w:rPr>
        <w:t>
      safety;</w:t>
      </w:r>
    </w:p>
    <w:bookmarkEnd w:id="175"/>
    <w:bookmarkStart w:name="z183" w:id="176"/>
    <w:p>
      <w:pPr>
        <w:spacing w:after="0"/>
        <w:ind w:left="0"/>
        <w:jc w:val="both"/>
      </w:pPr>
      <w:r>
        <w:rPr>
          <w:rFonts w:ascii="Times New Roman"/>
          <w:b w:val="false"/>
          <w:i w:val="false"/>
          <w:color w:val="000000"/>
          <w:sz w:val="28"/>
        </w:rPr>
        <w:t>
      clinical effectiveness (efficacy).</w:t>
      </w:r>
    </w:p>
    <w:bookmarkEnd w:id="176"/>
    <w:bookmarkStart w:name="z184" w:id="177"/>
    <w:p>
      <w:pPr>
        <w:spacing w:after="0"/>
        <w:ind w:left="0"/>
        <w:jc w:val="both"/>
      </w:pPr>
      <w:r>
        <w:rPr>
          <w:rFonts w:ascii="Times New Roman"/>
          <w:b w:val="false"/>
          <w:i w:val="false"/>
          <w:color w:val="000000"/>
          <w:sz w:val="28"/>
        </w:rPr>
        <w:t xml:space="preserve">
      10) Chapter 4. Economic review: methods and results: </w:t>
      </w:r>
    </w:p>
    <w:bookmarkEnd w:id="177"/>
    <w:bookmarkStart w:name="z185" w:id="178"/>
    <w:p>
      <w:pPr>
        <w:spacing w:after="0"/>
        <w:ind w:left="0"/>
        <w:jc w:val="both"/>
      </w:pPr>
      <w:r>
        <w:rPr>
          <w:rFonts w:ascii="Times New Roman"/>
          <w:b w:val="false"/>
          <w:i w:val="false"/>
          <w:color w:val="000000"/>
          <w:sz w:val="28"/>
        </w:rPr>
        <w:t>
      economic effectiveness search strategy;</w:t>
      </w:r>
    </w:p>
    <w:bookmarkEnd w:id="178"/>
    <w:bookmarkStart w:name="z186" w:id="179"/>
    <w:p>
      <w:pPr>
        <w:spacing w:after="0"/>
        <w:ind w:left="0"/>
        <w:jc w:val="both"/>
      </w:pPr>
      <w:r>
        <w:rPr>
          <w:rFonts w:ascii="Times New Roman"/>
          <w:b w:val="false"/>
          <w:i w:val="false"/>
          <w:color w:val="000000"/>
          <w:sz w:val="28"/>
        </w:rPr>
        <w:t>
      economic methods;</w:t>
      </w:r>
    </w:p>
    <w:bookmarkEnd w:id="179"/>
    <w:bookmarkStart w:name="z187" w:id="180"/>
    <w:p>
      <w:pPr>
        <w:spacing w:after="0"/>
        <w:ind w:left="0"/>
        <w:jc w:val="both"/>
      </w:pPr>
      <w:r>
        <w:rPr>
          <w:rFonts w:ascii="Times New Roman"/>
          <w:b w:val="false"/>
          <w:i w:val="false"/>
          <w:color w:val="000000"/>
          <w:sz w:val="28"/>
        </w:rPr>
        <w:t>
      results:</w:t>
      </w:r>
    </w:p>
    <w:bookmarkEnd w:id="180"/>
    <w:bookmarkStart w:name="z188" w:id="181"/>
    <w:p>
      <w:pPr>
        <w:spacing w:after="0"/>
        <w:ind w:left="0"/>
        <w:jc w:val="both"/>
      </w:pPr>
      <w:r>
        <w:rPr>
          <w:rFonts w:ascii="Times New Roman"/>
          <w:b w:val="false"/>
          <w:i w:val="false"/>
          <w:color w:val="000000"/>
          <w:sz w:val="28"/>
        </w:rPr>
        <w:t>
      published economic estimates;</w:t>
      </w:r>
    </w:p>
    <w:bookmarkEnd w:id="181"/>
    <w:bookmarkStart w:name="z189" w:id="182"/>
    <w:p>
      <w:pPr>
        <w:spacing w:after="0"/>
        <w:ind w:left="0"/>
        <w:jc w:val="both"/>
      </w:pPr>
      <w:r>
        <w:rPr>
          <w:rFonts w:ascii="Times New Roman"/>
          <w:b w:val="false"/>
          <w:i w:val="false"/>
          <w:color w:val="000000"/>
          <w:sz w:val="28"/>
        </w:rPr>
        <w:t>
      economic calculations with account of Kazakhstan’s data.</w:t>
      </w:r>
    </w:p>
    <w:bookmarkEnd w:id="182"/>
    <w:bookmarkStart w:name="z190" w:id="183"/>
    <w:p>
      <w:pPr>
        <w:spacing w:after="0"/>
        <w:ind w:left="0"/>
        <w:jc w:val="both"/>
      </w:pPr>
      <w:r>
        <w:rPr>
          <w:rFonts w:ascii="Times New Roman"/>
          <w:b w:val="false"/>
          <w:i w:val="false"/>
          <w:color w:val="000000"/>
          <w:sz w:val="28"/>
        </w:rPr>
        <w:t>
      11) Chapter 5. Significance for the healthcare system:</w:t>
      </w:r>
    </w:p>
    <w:bookmarkEnd w:id="183"/>
    <w:bookmarkStart w:name="z191" w:id="184"/>
    <w:p>
      <w:pPr>
        <w:spacing w:after="0"/>
        <w:ind w:left="0"/>
        <w:jc w:val="both"/>
      </w:pPr>
      <w:r>
        <w:rPr>
          <w:rFonts w:ascii="Times New Roman"/>
          <w:b w:val="false"/>
          <w:i w:val="false"/>
          <w:color w:val="000000"/>
          <w:sz w:val="28"/>
        </w:rPr>
        <w:t>
      psychological, social and ethical aspects;</w:t>
      </w:r>
    </w:p>
    <w:bookmarkEnd w:id="184"/>
    <w:bookmarkStart w:name="z192" w:id="185"/>
    <w:p>
      <w:pPr>
        <w:spacing w:after="0"/>
        <w:ind w:left="0"/>
        <w:jc w:val="both"/>
      </w:pPr>
      <w:r>
        <w:rPr>
          <w:rFonts w:ascii="Times New Roman"/>
          <w:b w:val="false"/>
          <w:i w:val="false"/>
          <w:color w:val="000000"/>
          <w:sz w:val="28"/>
        </w:rPr>
        <w:t>
      organizational and professional implications;</w:t>
      </w:r>
    </w:p>
    <w:bookmarkEnd w:id="185"/>
    <w:bookmarkStart w:name="z193" w:id="186"/>
    <w:p>
      <w:pPr>
        <w:spacing w:after="0"/>
        <w:ind w:left="0"/>
        <w:jc w:val="both"/>
      </w:pPr>
      <w:r>
        <w:rPr>
          <w:rFonts w:ascii="Times New Roman"/>
          <w:b w:val="false"/>
          <w:i w:val="false"/>
          <w:color w:val="000000"/>
          <w:sz w:val="28"/>
        </w:rPr>
        <w:t>
      economic implications: resource implications, budget impact analysis, etc.</w:t>
      </w:r>
    </w:p>
    <w:bookmarkEnd w:id="186"/>
    <w:bookmarkStart w:name="z194" w:id="187"/>
    <w:p>
      <w:pPr>
        <w:spacing w:after="0"/>
        <w:ind w:left="0"/>
        <w:jc w:val="both"/>
      </w:pPr>
      <w:r>
        <w:rPr>
          <w:rFonts w:ascii="Times New Roman"/>
          <w:b w:val="false"/>
          <w:i w:val="false"/>
          <w:color w:val="000000"/>
          <w:sz w:val="28"/>
        </w:rPr>
        <w:t>
      12) Chapter 6. Discussion:</w:t>
      </w:r>
    </w:p>
    <w:bookmarkEnd w:id="187"/>
    <w:bookmarkStart w:name="z195" w:id="188"/>
    <w:p>
      <w:pPr>
        <w:spacing w:after="0"/>
        <w:ind w:left="0"/>
        <w:jc w:val="both"/>
      </w:pPr>
      <w:r>
        <w:rPr>
          <w:rFonts w:ascii="Times New Roman"/>
          <w:b w:val="false"/>
          <w:i w:val="false"/>
          <w:color w:val="000000"/>
          <w:sz w:val="28"/>
        </w:rPr>
        <w:t>
      summary of the results and discussion of their relevance;</w:t>
      </w:r>
    </w:p>
    <w:bookmarkEnd w:id="188"/>
    <w:bookmarkStart w:name="z196" w:id="189"/>
    <w:p>
      <w:pPr>
        <w:spacing w:after="0"/>
        <w:ind w:left="0"/>
        <w:jc w:val="both"/>
      </w:pPr>
      <w:r>
        <w:rPr>
          <w:rFonts w:ascii="Times New Roman"/>
          <w:b w:val="false"/>
          <w:i w:val="false"/>
          <w:color w:val="000000"/>
          <w:sz w:val="28"/>
        </w:rPr>
        <w:t>
      limitations of research and generalization of results</w:t>
      </w:r>
    </w:p>
    <w:bookmarkEnd w:id="189"/>
    <w:bookmarkStart w:name="z197" w:id="190"/>
    <w:p>
      <w:pPr>
        <w:spacing w:after="0"/>
        <w:ind w:left="0"/>
        <w:jc w:val="both"/>
      </w:pPr>
      <w:r>
        <w:rPr>
          <w:rFonts w:ascii="Times New Roman"/>
          <w:b w:val="false"/>
          <w:i w:val="false"/>
          <w:color w:val="000000"/>
          <w:sz w:val="28"/>
        </w:rPr>
        <w:t>
      13) Chapter 7. Conclusions:</w:t>
      </w:r>
    </w:p>
    <w:bookmarkEnd w:id="190"/>
    <w:bookmarkStart w:name="z198" w:id="191"/>
    <w:p>
      <w:pPr>
        <w:spacing w:after="0"/>
        <w:ind w:left="0"/>
        <w:jc w:val="both"/>
      </w:pPr>
      <w:r>
        <w:rPr>
          <w:rFonts w:ascii="Times New Roman"/>
          <w:b w:val="false"/>
          <w:i w:val="false"/>
          <w:color w:val="000000"/>
          <w:sz w:val="28"/>
        </w:rPr>
        <w:t>
      Appendix;</w:t>
      </w:r>
    </w:p>
    <w:bookmarkEnd w:id="191"/>
    <w:bookmarkStart w:name="z199" w:id="192"/>
    <w:p>
      <w:pPr>
        <w:spacing w:after="0"/>
        <w:ind w:left="0"/>
        <w:jc w:val="both"/>
      </w:pPr>
      <w:r>
        <w:rPr>
          <w:rFonts w:ascii="Times New Roman"/>
          <w:b w:val="false"/>
          <w:i w:val="false"/>
          <w:color w:val="000000"/>
          <w:sz w:val="28"/>
        </w:rPr>
        <w:t>
      literature;</w:t>
      </w:r>
    </w:p>
    <w:bookmarkEnd w:id="192"/>
    <w:bookmarkStart w:name="z200" w:id="193"/>
    <w:p>
      <w:pPr>
        <w:spacing w:after="0"/>
        <w:ind w:left="0"/>
        <w:jc w:val="both"/>
      </w:pPr>
      <w:r>
        <w:rPr>
          <w:rFonts w:ascii="Times New Roman"/>
          <w:b w:val="false"/>
          <w:i w:val="false"/>
          <w:color w:val="000000"/>
          <w:sz w:val="28"/>
        </w:rPr>
        <w:t>
      search strategies;tables and figures.</w:t>
      </w:r>
    </w:p>
    <w:bookmarkEnd w:id="193"/>
    <w:bookmarkStart w:name="z201" w:id="194"/>
    <w:p>
      <w:pPr>
        <w:spacing w:after="0"/>
        <w:ind w:left="0"/>
        <w:jc w:val="both"/>
      </w:pPr>
      <w:r>
        <w:rPr>
          <w:rFonts w:ascii="Times New Roman"/>
          <w:b w:val="false"/>
          <w:i w:val="false"/>
          <w:color w:val="000000"/>
          <w:sz w:val="28"/>
        </w:rPr>
        <w:t>
      The volume of the report depends on the complexity of the technology under consideration.</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