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7b80" w14:textId="43d7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generating and using the data of national health accounts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DCM-66 as of May 6, 2019. Registered with the Ministry of Justice of the Republic of Kazakhstan on May 8, 2019, No. 18645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acting. Of the Minister of Health of the Republic of Kazakhstan dated October 30, 2020 No. ҚR DSM-173/2020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3</w:t>
      </w:r>
      <w:r>
        <w:rPr>
          <w:rFonts w:ascii="Times New Roman"/>
          <w:b w:val="false"/>
          <w:i w:val="false"/>
          <w:color w:val="000000"/>
          <w:sz w:val="28"/>
        </w:rPr>
        <w:t xml:space="preserve"> of Article 28-1 of the Code of the Republic of Kazakhstan “On Public Health and Healthcare System” as of September 18, 2009, I hereby ORDER:</w:t>
      </w:r>
    </w:p>
    <w:bookmarkEnd w:id="0"/>
    <w:bookmarkStart w:name="z3" w:id="1"/>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Rules</w:t>
      </w:r>
      <w:r>
        <w:rPr>
          <w:rFonts w:ascii="Times New Roman"/>
          <w:b w:val="false"/>
          <w:i w:val="false"/>
          <w:color w:val="000000"/>
          <w:sz w:val="28"/>
        </w:rPr>
        <w:t xml:space="preserve"> for generating and using the data of national health accounts.</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Project Management Department of the Ministry of Healthcare of the Republic of Kazakhstan shall:</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send its electronic and paper-based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xml:space="preserve">
      3) place this order on the official website of the Ministry of Healthcare of the Republic of Kazakhstan; </w:t>
      </w:r>
    </w:p>
    <w:bookmarkEnd w:id="5"/>
    <w:bookmarkStart w:name="z8" w:id="6"/>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Healthcare of the Republic of Kazakhstan.</w:t>
      </w:r>
    </w:p>
    <w:bookmarkEnd w:id="6"/>
    <w:bookmarkStart w:name="z9" w:id="7"/>
    <w:p>
      <w:pPr>
        <w:spacing w:after="0"/>
        <w:ind w:left="0"/>
        <w:jc w:val="both"/>
      </w:pPr>
      <w:r>
        <w:rPr>
          <w:rFonts w:ascii="Times New Roman"/>
          <w:b w:val="false"/>
          <w:i w:val="false"/>
          <w:color w:val="000000"/>
          <w:sz w:val="28"/>
        </w:rPr>
        <w:t xml:space="preserve">
      3. The control over the execution of this order shall be assigned to the vice-minister of healthcare of the Republic of Kazakhstan, O.A.Abishev. </w:t>
      </w:r>
    </w:p>
    <w:bookmarkEnd w:id="7"/>
    <w:bookmarkStart w:name="z10" w:id="8"/>
    <w:p>
      <w:pPr>
        <w:spacing w:after="0"/>
        <w:ind w:left="0"/>
        <w:jc w:val="both"/>
      </w:pPr>
      <w:r>
        <w:rPr>
          <w:rFonts w:ascii="Times New Roman"/>
          <w:b w:val="false"/>
          <w:i w:val="false"/>
          <w:color w:val="000000"/>
          <w:sz w:val="28"/>
        </w:rPr>
        <w:t xml:space="preserve">
      4. This order shall take effect ten calendar days after its first official publication. </w:t>
      </w:r>
    </w:p>
    <w:bookmarkEnd w:id="8"/>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Minster</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KR DCM-66</w:t>
            </w:r>
            <w:r>
              <w:br/>
            </w:r>
            <w:r>
              <w:rPr>
                <w:rFonts w:ascii="Times New Roman"/>
                <w:b w:val="false"/>
                <w:i w:val="false"/>
                <w:color w:val="000000"/>
                <w:sz w:val="20"/>
              </w:rPr>
              <w:t>as of May 6, 2019 of the Minister</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p>
        </w:tc>
      </w:tr>
    </w:tbl>
    <w:bookmarkStart w:name="z12" w:id="9"/>
    <w:p>
      <w:pPr>
        <w:spacing w:after="0"/>
        <w:ind w:left="0"/>
        <w:jc w:val="left"/>
      </w:pPr>
      <w:r>
        <w:rPr>
          <w:rFonts w:ascii="Times New Roman"/>
          <w:b/>
          <w:i w:val="false"/>
          <w:color w:val="000000"/>
        </w:rPr>
        <w:t xml:space="preserve"> Rules for generating and using the data of national health accounts</w:t>
      </w:r>
      <w:r>
        <w:br/>
      </w:r>
      <w:r>
        <w:rPr>
          <w:rFonts w:ascii="Times New Roman"/>
          <w:b/>
          <w:i w:val="false"/>
          <w:color w:val="000000"/>
        </w:rPr>
        <w:t xml:space="preserve">Chapter 1. General provisions </w:t>
      </w:r>
    </w:p>
    <w:bookmarkEnd w:id="9"/>
    <w:bookmarkStart w:name="z13" w:id="10"/>
    <w:p>
      <w:pPr>
        <w:spacing w:after="0"/>
        <w:ind w:left="0"/>
        <w:jc w:val="both"/>
      </w:pPr>
      <w:r>
        <w:rPr>
          <w:rFonts w:ascii="Times New Roman"/>
          <w:b w:val="false"/>
          <w:i w:val="false"/>
          <w:color w:val="000000"/>
          <w:sz w:val="28"/>
        </w:rPr>
        <w:t xml:space="preserve">
      1. These Rules for generating and using the data of national health accounts (hereinafter referred to as the Rules) are developed in accordance with </w:t>
      </w:r>
      <w:r>
        <w:rPr>
          <w:rFonts w:ascii="Times New Roman"/>
          <w:b w:val="false"/>
          <w:i w:val="false"/>
          <w:color w:val="000000"/>
          <w:sz w:val="28"/>
        </w:rPr>
        <w:t>paragraph 3</w:t>
      </w:r>
      <w:r>
        <w:rPr>
          <w:rFonts w:ascii="Times New Roman"/>
          <w:b w:val="false"/>
          <w:i w:val="false"/>
          <w:color w:val="000000"/>
          <w:sz w:val="28"/>
        </w:rPr>
        <w:t xml:space="preserve"> of Article 28-1 of the Code of the Republic of Kazakhstan “On Public Health and Healthcare System” (hereinafter referred to as the Code) as of September 18, 2009 and establish the procedure for generating and using the data of national health accounts.</w:t>
      </w:r>
    </w:p>
    <w:bookmarkEnd w:id="10"/>
    <w:bookmarkStart w:name="z14" w:id="11"/>
    <w:p>
      <w:pPr>
        <w:spacing w:after="0"/>
        <w:ind w:left="0"/>
        <w:jc w:val="both"/>
      </w:pPr>
      <w:r>
        <w:rPr>
          <w:rFonts w:ascii="Times New Roman"/>
          <w:b w:val="false"/>
          <w:i w:val="false"/>
          <w:color w:val="000000"/>
          <w:sz w:val="28"/>
        </w:rPr>
        <w:t xml:space="preserve">
      2. The purpose of the national health accounts (hereinafter referred to as NHA) is to collect information about the national healthcare system for planning, developing policies and evaluating the effectiveness of the system in this area. </w:t>
      </w:r>
    </w:p>
    <w:bookmarkEnd w:id="11"/>
    <w:bookmarkStart w:name="z15" w:id="12"/>
    <w:p>
      <w:pPr>
        <w:spacing w:after="0"/>
        <w:ind w:left="0"/>
        <w:jc w:val="both"/>
      </w:pPr>
      <w:r>
        <w:rPr>
          <w:rFonts w:ascii="Times New Roman"/>
          <w:b w:val="false"/>
          <w:i w:val="false"/>
          <w:color w:val="000000"/>
          <w:sz w:val="28"/>
        </w:rPr>
        <w:t xml:space="preserve">
      3. The following terms and definitions are used in these Rules: </w:t>
      </w:r>
    </w:p>
    <w:bookmarkEnd w:id="12"/>
    <w:bookmarkStart w:name="z16" w:id="13"/>
    <w:p>
      <w:pPr>
        <w:spacing w:after="0"/>
        <w:ind w:left="0"/>
        <w:jc w:val="both"/>
      </w:pPr>
      <w:r>
        <w:rPr>
          <w:rFonts w:ascii="Times New Roman"/>
          <w:b w:val="false"/>
          <w:i w:val="false"/>
          <w:color w:val="000000"/>
          <w:sz w:val="28"/>
        </w:rPr>
        <w:t>
      1) authorized body for budget execution – a body carrying out leadership and intersectoral coordination in the field of budget execution, accounting, budget accounting and budgetary reporting on the execution of the republican budget;</w:t>
      </w:r>
    </w:p>
    <w:bookmarkEnd w:id="13"/>
    <w:bookmarkStart w:name="z17" w:id="14"/>
    <w:p>
      <w:pPr>
        <w:spacing w:after="0"/>
        <w:ind w:left="0"/>
        <w:jc w:val="both"/>
      </w:pPr>
      <w:r>
        <w:rPr>
          <w:rFonts w:ascii="Times New Roman"/>
          <w:b w:val="false"/>
          <w:i w:val="false"/>
          <w:color w:val="000000"/>
          <w:sz w:val="28"/>
        </w:rPr>
        <w:t>
      2) healthcare financing (HF) - a classification of healthcare financing schemes through which consumers receive healthcare services;</w:t>
      </w:r>
    </w:p>
    <w:bookmarkEnd w:id="14"/>
    <w:bookmarkStart w:name="z18" w:id="15"/>
    <w:p>
      <w:pPr>
        <w:spacing w:after="0"/>
        <w:ind w:left="0"/>
        <w:jc w:val="both"/>
      </w:pPr>
      <w:r>
        <w:rPr>
          <w:rFonts w:ascii="Times New Roman"/>
          <w:b w:val="false"/>
          <w:i w:val="false"/>
          <w:color w:val="000000"/>
          <w:sz w:val="28"/>
        </w:rPr>
        <w:t>
      3) gross capital formation in the healthcare system - capital expenditures on healthcare by healthcare providers over a reporting period (minus the cost of sale of assets of the same type) and those used regularly or over a period of one year or more to provide medical services;</w:t>
      </w:r>
    </w:p>
    <w:bookmarkEnd w:id="15"/>
    <w:bookmarkStart w:name="z19" w:id="16"/>
    <w:p>
      <w:pPr>
        <w:spacing w:after="0"/>
        <w:ind w:left="0"/>
        <w:jc w:val="both"/>
      </w:pPr>
      <w:r>
        <w:rPr>
          <w:rFonts w:ascii="Times New Roman"/>
          <w:b w:val="false"/>
          <w:i w:val="false"/>
          <w:color w:val="000000"/>
          <w:sz w:val="28"/>
        </w:rPr>
        <w:t xml:space="preserve">
      4) current healthcare financing - final consumer expenditures of residents on goods and services in the field of healthcare; </w:t>
      </w:r>
    </w:p>
    <w:bookmarkEnd w:id="16"/>
    <w:bookmarkStart w:name="z20" w:id="17"/>
    <w:p>
      <w:pPr>
        <w:spacing w:after="0"/>
        <w:ind w:left="0"/>
        <w:jc w:val="both"/>
      </w:pPr>
      <w:r>
        <w:rPr>
          <w:rFonts w:ascii="Times New Roman"/>
          <w:b w:val="false"/>
          <w:i w:val="false"/>
          <w:color w:val="000000"/>
          <w:sz w:val="28"/>
        </w:rPr>
        <w:t>
      5) authorized body for healthcare – central executive body carrying out leadership and intersectoral coordination in the field of public health protection, medical and pharmaceutical science, medical and pharmaceutical education, sanitary and epidemiological welfare of the population, turnover of medicines and medical devices, and quality control of medical services;</w:t>
      </w:r>
    </w:p>
    <w:bookmarkEnd w:id="17"/>
    <w:bookmarkStart w:name="z21" w:id="18"/>
    <w:p>
      <w:pPr>
        <w:spacing w:after="0"/>
        <w:ind w:left="0"/>
        <w:jc w:val="both"/>
      </w:pPr>
      <w:r>
        <w:rPr>
          <w:rFonts w:ascii="Times New Roman"/>
          <w:b w:val="false"/>
          <w:i w:val="false"/>
          <w:color w:val="000000"/>
          <w:sz w:val="28"/>
        </w:rPr>
        <w:t>
      6) the system of health accounts (hereinafter referred to as SHA) - methodology providing a systematic description of financial flows in the healthcare system, the purpose of which is to describe the healthcare system in terms of expenditures, both for international and national purposes;</w:t>
      </w:r>
    </w:p>
    <w:bookmarkEnd w:id="18"/>
    <w:bookmarkStart w:name="z22" w:id="19"/>
    <w:p>
      <w:pPr>
        <w:spacing w:after="0"/>
        <w:ind w:left="0"/>
        <w:jc w:val="both"/>
      </w:pPr>
      <w:r>
        <w:rPr>
          <w:rFonts w:ascii="Times New Roman"/>
          <w:b w:val="false"/>
          <w:i w:val="false"/>
          <w:color w:val="000000"/>
          <w:sz w:val="28"/>
        </w:rPr>
        <w:t>
      7) data disaggregation - the distribution of aggregated data on expenditures by region, the main purpose of which is to determine the effectiveness of the use of funds for healthcare by identifying regional similarities and differences in the consumption of healthcare products and services;</w:t>
      </w:r>
    </w:p>
    <w:bookmarkEnd w:id="19"/>
    <w:bookmarkStart w:name="z23" w:id="20"/>
    <w:p>
      <w:pPr>
        <w:spacing w:after="0"/>
        <w:ind w:left="0"/>
        <w:jc w:val="both"/>
      </w:pPr>
      <w:r>
        <w:rPr>
          <w:rFonts w:ascii="Times New Roman"/>
          <w:b w:val="false"/>
          <w:i w:val="false"/>
          <w:color w:val="000000"/>
          <w:sz w:val="28"/>
        </w:rPr>
        <w:t xml:space="preserve">
      8) service provision factors - resources used by providers in the process of production and provision of healthcare services; </w:t>
      </w:r>
    </w:p>
    <w:bookmarkEnd w:id="20"/>
    <w:bookmarkStart w:name="z24" w:id="21"/>
    <w:p>
      <w:pPr>
        <w:spacing w:after="0"/>
        <w:ind w:left="0"/>
        <w:jc w:val="both"/>
      </w:pPr>
      <w:r>
        <w:rPr>
          <w:rFonts w:ascii="Times New Roman"/>
          <w:b w:val="false"/>
          <w:i w:val="false"/>
          <w:color w:val="000000"/>
          <w:sz w:val="28"/>
        </w:rPr>
        <w:t xml:space="preserve">
      9) income from financing schemes (FS) - the main sources of healthcare financing; </w:t>
      </w:r>
    </w:p>
    <w:bookmarkEnd w:id="21"/>
    <w:bookmarkStart w:name="z25" w:id="22"/>
    <w:p>
      <w:pPr>
        <w:spacing w:after="0"/>
        <w:ind w:left="0"/>
        <w:jc w:val="both"/>
      </w:pPr>
      <w:r>
        <w:rPr>
          <w:rFonts w:ascii="Times New Roman"/>
          <w:b w:val="false"/>
          <w:i w:val="false"/>
          <w:color w:val="000000"/>
          <w:sz w:val="28"/>
        </w:rPr>
        <w:t xml:space="preserve">
      10) healthcare providers (HP) - organizations and other entities providing healthcare products and services; </w:t>
      </w:r>
    </w:p>
    <w:bookmarkEnd w:id="22"/>
    <w:bookmarkStart w:name="z26" w:id="23"/>
    <w:p>
      <w:pPr>
        <w:spacing w:after="0"/>
        <w:ind w:left="0"/>
        <w:jc w:val="both"/>
      </w:pPr>
      <w:r>
        <w:rPr>
          <w:rFonts w:ascii="Times New Roman"/>
          <w:b w:val="false"/>
          <w:i w:val="false"/>
          <w:color w:val="000000"/>
          <w:sz w:val="28"/>
        </w:rPr>
        <w:t>
      11) functions of healthcare providers (НС) - the provision by healthcare providers of goods and services using the funds received under financing schemes;</w:t>
      </w:r>
    </w:p>
    <w:bookmarkEnd w:id="23"/>
    <w:bookmarkStart w:name="z27" w:id="24"/>
    <w:p>
      <w:pPr>
        <w:spacing w:after="0"/>
        <w:ind w:left="0"/>
        <w:jc w:val="both"/>
      </w:pPr>
      <w:r>
        <w:rPr>
          <w:rFonts w:ascii="Times New Roman"/>
          <w:b w:val="false"/>
          <w:i w:val="false"/>
          <w:color w:val="000000"/>
          <w:sz w:val="28"/>
        </w:rPr>
        <w:t>
      12) authorized body for state statistics - a state body carrying out leadership and also intersectoral coordination in the field of state statistics within its competence;</w:t>
      </w:r>
    </w:p>
    <w:bookmarkEnd w:id="24"/>
    <w:bookmarkStart w:name="z28" w:id="25"/>
    <w:p>
      <w:pPr>
        <w:spacing w:after="0"/>
        <w:ind w:left="0"/>
        <w:jc w:val="both"/>
      </w:pPr>
      <w:r>
        <w:rPr>
          <w:rFonts w:ascii="Times New Roman"/>
          <w:b w:val="false"/>
          <w:i w:val="false"/>
          <w:color w:val="000000"/>
          <w:sz w:val="28"/>
        </w:rPr>
        <w:t>
      13) productivity - the ratio of the volume of production to the volume of source data, which determines the most successful use of process resources in a particular field of activity;</w:t>
      </w:r>
    </w:p>
    <w:bookmarkEnd w:id="25"/>
    <w:bookmarkStart w:name="z29" w:id="26"/>
    <w:p>
      <w:pPr>
        <w:spacing w:after="0"/>
        <w:ind w:left="0"/>
        <w:jc w:val="both"/>
      </w:pPr>
      <w:r>
        <w:rPr>
          <w:rFonts w:ascii="Times New Roman"/>
          <w:b w:val="false"/>
          <w:i w:val="false"/>
          <w:color w:val="000000"/>
          <w:sz w:val="28"/>
        </w:rPr>
        <w:t>
      14) residents - institutional entities of the economy, such as government, enterprises, households, and non-governmental organizations;</w:t>
      </w:r>
    </w:p>
    <w:bookmarkEnd w:id="26"/>
    <w:bookmarkStart w:name="z30" w:id="27"/>
    <w:p>
      <w:pPr>
        <w:spacing w:after="0"/>
        <w:ind w:left="0"/>
        <w:jc w:val="both"/>
      </w:pPr>
      <w:r>
        <w:rPr>
          <w:rFonts w:ascii="Times New Roman"/>
          <w:b w:val="false"/>
          <w:i w:val="false"/>
          <w:color w:val="000000"/>
          <w:sz w:val="28"/>
        </w:rPr>
        <w:t>
      15) national health accounts - a system of regular, comprehensive and consistent monitoring of financial flows in the country’s healthcare system, used to assess the distribution of healthcare resources for the purpose of their equal and effective distribution among measures aimed at preventing diseases and treating the population.</w:t>
      </w:r>
    </w:p>
    <w:bookmarkEnd w:id="27"/>
    <w:bookmarkStart w:name="z31" w:id="28"/>
    <w:p>
      <w:pPr>
        <w:spacing w:after="0"/>
        <w:ind w:left="0"/>
        <w:jc w:val="left"/>
      </w:pPr>
      <w:r>
        <w:rPr>
          <w:rFonts w:ascii="Times New Roman"/>
          <w:b/>
          <w:i w:val="false"/>
          <w:color w:val="000000"/>
        </w:rPr>
        <w:t xml:space="preserve"> Chapter 2. Procedure for NHA creation</w:t>
      </w:r>
    </w:p>
    <w:bookmarkEnd w:id="28"/>
    <w:bookmarkStart w:name="z32" w:id="29"/>
    <w:p>
      <w:pPr>
        <w:spacing w:after="0"/>
        <w:ind w:left="0"/>
        <w:jc w:val="both"/>
      </w:pPr>
      <w:r>
        <w:rPr>
          <w:rFonts w:ascii="Times New Roman"/>
          <w:b w:val="false"/>
          <w:i w:val="false"/>
          <w:color w:val="000000"/>
          <w:sz w:val="28"/>
        </w:rPr>
        <w:t xml:space="preserve">
      4. NHA are created on an annual basis for a previous year. </w:t>
      </w:r>
    </w:p>
    <w:bookmarkEnd w:id="29"/>
    <w:bookmarkStart w:name="z33" w:id="30"/>
    <w:p>
      <w:pPr>
        <w:spacing w:after="0"/>
        <w:ind w:left="0"/>
        <w:jc w:val="both"/>
      </w:pPr>
      <w:r>
        <w:rPr>
          <w:rFonts w:ascii="Times New Roman"/>
          <w:b w:val="false"/>
          <w:i w:val="false"/>
          <w:color w:val="000000"/>
          <w:sz w:val="28"/>
        </w:rPr>
        <w:t>
      5. The process of NHA creation consists of three main stages:</w:t>
      </w:r>
    </w:p>
    <w:bookmarkEnd w:id="30"/>
    <w:bookmarkStart w:name="z34" w:id="31"/>
    <w:p>
      <w:pPr>
        <w:spacing w:after="0"/>
        <w:ind w:left="0"/>
        <w:jc w:val="both"/>
      </w:pPr>
      <w:r>
        <w:rPr>
          <w:rFonts w:ascii="Times New Roman"/>
          <w:b w:val="false"/>
          <w:i w:val="false"/>
          <w:color w:val="000000"/>
          <w:sz w:val="28"/>
        </w:rPr>
        <w:t>
      1) data collection;</w:t>
      </w:r>
    </w:p>
    <w:bookmarkEnd w:id="31"/>
    <w:bookmarkStart w:name="z35" w:id="32"/>
    <w:p>
      <w:pPr>
        <w:spacing w:after="0"/>
        <w:ind w:left="0"/>
        <w:jc w:val="both"/>
      </w:pPr>
      <w:r>
        <w:rPr>
          <w:rFonts w:ascii="Times New Roman"/>
          <w:b w:val="false"/>
          <w:i w:val="false"/>
          <w:color w:val="000000"/>
          <w:sz w:val="28"/>
        </w:rPr>
        <w:t>
      2) data aggregation and making calculations with regard to health accounts;</w:t>
      </w:r>
    </w:p>
    <w:bookmarkEnd w:id="32"/>
    <w:bookmarkStart w:name="z36" w:id="33"/>
    <w:p>
      <w:pPr>
        <w:spacing w:after="0"/>
        <w:ind w:left="0"/>
        <w:jc w:val="both"/>
      </w:pPr>
      <w:r>
        <w:rPr>
          <w:rFonts w:ascii="Times New Roman"/>
          <w:b w:val="false"/>
          <w:i w:val="false"/>
          <w:color w:val="000000"/>
          <w:sz w:val="28"/>
        </w:rPr>
        <w:t>
      3) formation of the final tables.</w:t>
      </w:r>
    </w:p>
    <w:bookmarkEnd w:id="33"/>
    <w:bookmarkStart w:name="z37" w:id="34"/>
    <w:p>
      <w:pPr>
        <w:spacing w:after="0"/>
        <w:ind w:left="0"/>
        <w:jc w:val="both"/>
      </w:pPr>
      <w:r>
        <w:rPr>
          <w:rFonts w:ascii="Times New Roman"/>
          <w:b w:val="false"/>
          <w:i w:val="false"/>
          <w:color w:val="000000"/>
          <w:sz w:val="28"/>
        </w:rPr>
        <w:t>
      6. Data are collected from:</w:t>
      </w:r>
    </w:p>
    <w:bookmarkEnd w:id="34"/>
    <w:bookmarkStart w:name="z38" w:id="35"/>
    <w:p>
      <w:pPr>
        <w:spacing w:after="0"/>
        <w:ind w:left="0"/>
        <w:jc w:val="both"/>
      </w:pPr>
      <w:r>
        <w:rPr>
          <w:rFonts w:ascii="Times New Roman"/>
          <w:b w:val="false"/>
          <w:i w:val="false"/>
          <w:color w:val="000000"/>
          <w:sz w:val="28"/>
        </w:rPr>
        <w:t>
      1) information on the expenditures of local budgets for a reporting year within the 039 budget program “Provision of outpatient services and medical services by rural healthcare entities, except for those provided at the expense of the republican budget, and the provision of services by Call centers” with a breakdown by forms of assistance;</w:t>
      </w:r>
    </w:p>
    <w:bookmarkEnd w:id="35"/>
    <w:bookmarkStart w:name="z39" w:id="36"/>
    <w:p>
      <w:pPr>
        <w:spacing w:after="0"/>
        <w:ind w:left="0"/>
        <w:jc w:val="both"/>
      </w:pPr>
      <w:r>
        <w:rPr>
          <w:rFonts w:ascii="Times New Roman"/>
          <w:b w:val="false"/>
          <w:i w:val="false"/>
          <w:color w:val="000000"/>
          <w:sz w:val="28"/>
        </w:rPr>
        <w:t>
      2) information on the expenditures of local budgets for a reporting year within the 041 budget program “Additional provision of the guaranteed volume of free medical care by decision of local representative bodies of the regions” with a breakdown by forms of assistance;</w:t>
      </w:r>
    </w:p>
    <w:bookmarkEnd w:id="36"/>
    <w:bookmarkStart w:name="z40" w:id="37"/>
    <w:p>
      <w:pPr>
        <w:spacing w:after="0"/>
        <w:ind w:left="0"/>
        <w:jc w:val="both"/>
      </w:pPr>
      <w:r>
        <w:rPr>
          <w:rFonts w:ascii="Times New Roman"/>
          <w:b w:val="false"/>
          <w:i w:val="false"/>
          <w:color w:val="000000"/>
          <w:sz w:val="28"/>
        </w:rPr>
        <w:t xml:space="preserve">
      3) information on the expenditures of local budgets for a reporting year within the 027 budget program “Centralized procurement and storage of vaccines and other immunobiological preparations for immunoprophylaxis of the population”; </w:t>
      </w:r>
    </w:p>
    <w:bookmarkEnd w:id="37"/>
    <w:bookmarkStart w:name="z41" w:id="38"/>
    <w:p>
      <w:pPr>
        <w:spacing w:after="0"/>
        <w:ind w:left="0"/>
        <w:jc w:val="both"/>
      </w:pPr>
      <w:r>
        <w:rPr>
          <w:rFonts w:ascii="Times New Roman"/>
          <w:b w:val="false"/>
          <w:i w:val="false"/>
          <w:color w:val="000000"/>
          <w:sz w:val="28"/>
        </w:rPr>
        <w:t>
      4) information on the execution of funds allocated from the republican budget within the 067 budget program “Ensuring the guaranteed volume of free medical care” for a reporting year with a breakdown by services, which is formed by the authorized body for healthcare;</w:t>
      </w:r>
    </w:p>
    <w:bookmarkEnd w:id="38"/>
    <w:bookmarkStart w:name="z42" w:id="39"/>
    <w:p>
      <w:pPr>
        <w:spacing w:after="0"/>
        <w:ind w:left="0"/>
        <w:jc w:val="both"/>
      </w:pPr>
      <w:r>
        <w:rPr>
          <w:rFonts w:ascii="Times New Roman"/>
          <w:b w:val="false"/>
          <w:i w:val="false"/>
          <w:color w:val="000000"/>
          <w:sz w:val="28"/>
        </w:rPr>
        <w:t>
      5) data on actual expenses for treatment abroad for a reporting year, published on the official website of the OECD Statistical Database;</w:t>
      </w:r>
    </w:p>
    <w:bookmarkEnd w:id="39"/>
    <w:bookmarkStart w:name="z43" w:id="40"/>
    <w:p>
      <w:pPr>
        <w:spacing w:after="0"/>
        <w:ind w:left="0"/>
        <w:jc w:val="both"/>
      </w:pPr>
      <w:r>
        <w:rPr>
          <w:rFonts w:ascii="Times New Roman"/>
          <w:b w:val="false"/>
          <w:i w:val="false"/>
          <w:color w:val="000000"/>
          <w:sz w:val="28"/>
        </w:rPr>
        <w:t xml:space="preserve">
      6) statistical bulletins of the authorized body for state statistics “Report on the volume of services rendered in the field of healthcare and the provision of social services”, “Report on main indicators of the financial and economic activities of a healthcare entity”, “Household expenses and incomes”, “Expenses and incomes of the population”; </w:t>
      </w:r>
    </w:p>
    <w:bookmarkEnd w:id="40"/>
    <w:bookmarkStart w:name="z44" w:id="41"/>
    <w:p>
      <w:pPr>
        <w:spacing w:after="0"/>
        <w:ind w:left="0"/>
        <w:jc w:val="both"/>
      </w:pPr>
      <w:r>
        <w:rPr>
          <w:rFonts w:ascii="Times New Roman"/>
          <w:b w:val="false"/>
          <w:i w:val="false"/>
          <w:color w:val="000000"/>
          <w:sz w:val="28"/>
        </w:rPr>
        <w:t>
      7) a consolidated report on insurance payments with regard to insurance (reinsurance) organizations of the Republic of Kazakhstan and a consolidated report on insurance premiums with regard to insurance (reinsurance) organizations of the Republic of Kazakhstan, formed and placed by the National Bank of the Republic of Kazakhstan;</w:t>
      </w:r>
    </w:p>
    <w:bookmarkEnd w:id="41"/>
    <w:bookmarkStart w:name="z45" w:id="42"/>
    <w:p>
      <w:pPr>
        <w:spacing w:after="0"/>
        <w:ind w:left="0"/>
        <w:jc w:val="both"/>
      </w:pPr>
      <w:r>
        <w:rPr>
          <w:rFonts w:ascii="Times New Roman"/>
          <w:b w:val="false"/>
          <w:i w:val="false"/>
          <w:color w:val="000000"/>
          <w:sz w:val="28"/>
        </w:rPr>
        <w:t>
      7. In accordance with the principles of cost accounting, the data obtained are aggregated and calculations are made with regard to health accounts, expense items provided by the above forms are distributed among the classification groups of NHA Tables.       8. The NHA tables are compiled using the SHA methodology developed by the Organization for Economic Cooperation and Development, Eurostat and the World Health Organization.</w:t>
      </w:r>
    </w:p>
    <w:bookmarkEnd w:id="42"/>
    <w:bookmarkStart w:name="z46" w:id="43"/>
    <w:p>
      <w:pPr>
        <w:spacing w:after="0"/>
        <w:ind w:left="0"/>
        <w:jc w:val="both"/>
      </w:pPr>
      <w:r>
        <w:rPr>
          <w:rFonts w:ascii="Times New Roman"/>
          <w:b w:val="false"/>
          <w:i w:val="false"/>
          <w:color w:val="000000"/>
          <w:sz w:val="28"/>
        </w:rPr>
        <w:t xml:space="preserve">
      9. The structure of NHA tables includes four components: income from financing schemes and sources of information according to </w:t>
      </w:r>
      <w:r>
        <w:rPr>
          <w:rFonts w:ascii="Times New Roman"/>
          <w:b w:val="false"/>
          <w:i w:val="false"/>
          <w:color w:val="000000"/>
          <w:sz w:val="28"/>
        </w:rPr>
        <w:t>Appendix 1</w:t>
      </w:r>
      <w:r>
        <w:rPr>
          <w:rFonts w:ascii="Times New Roman"/>
          <w:b w:val="false"/>
          <w:i w:val="false"/>
          <w:color w:val="000000"/>
          <w:sz w:val="28"/>
        </w:rPr>
        <w:t xml:space="preserve">, healthcare financing according to </w:t>
      </w:r>
      <w:r>
        <w:rPr>
          <w:rFonts w:ascii="Times New Roman"/>
          <w:b w:val="false"/>
          <w:i w:val="false"/>
          <w:color w:val="000000"/>
          <w:sz w:val="28"/>
        </w:rPr>
        <w:t>Appendix 2</w:t>
      </w:r>
      <w:r>
        <w:rPr>
          <w:rFonts w:ascii="Times New Roman"/>
          <w:b w:val="false"/>
          <w:i w:val="false"/>
          <w:color w:val="000000"/>
          <w:sz w:val="28"/>
        </w:rPr>
        <w:t xml:space="preserve">, major healthcare providers according to </w:t>
      </w:r>
      <w:r>
        <w:rPr>
          <w:rFonts w:ascii="Times New Roman"/>
          <w:b w:val="false"/>
          <w:i w:val="false"/>
          <w:color w:val="000000"/>
          <w:sz w:val="28"/>
        </w:rPr>
        <w:t>Appendix 3</w:t>
      </w:r>
      <w:r>
        <w:rPr>
          <w:rFonts w:ascii="Times New Roman"/>
          <w:b w:val="false"/>
          <w:i w:val="false"/>
          <w:color w:val="000000"/>
          <w:sz w:val="28"/>
        </w:rPr>
        <w:t xml:space="preserve">, and the functions of healthcare providers according to </w:t>
      </w:r>
      <w:r>
        <w:rPr>
          <w:rFonts w:ascii="Times New Roman"/>
          <w:b w:val="false"/>
          <w:i w:val="false"/>
          <w:color w:val="000000"/>
          <w:sz w:val="28"/>
        </w:rPr>
        <w:t>Appendix 4</w:t>
      </w:r>
      <w:r>
        <w:rPr>
          <w:rFonts w:ascii="Times New Roman"/>
          <w:b w:val="false"/>
          <w:i w:val="false"/>
          <w:color w:val="000000"/>
          <w:sz w:val="28"/>
        </w:rPr>
        <w:t xml:space="preserve">. </w:t>
      </w:r>
    </w:p>
    <w:bookmarkEnd w:id="43"/>
    <w:bookmarkStart w:name="z47" w:id="44"/>
    <w:p>
      <w:pPr>
        <w:spacing w:after="0"/>
        <w:ind w:left="0"/>
        <w:jc w:val="both"/>
      </w:pPr>
      <w:r>
        <w:rPr>
          <w:rFonts w:ascii="Times New Roman"/>
          <w:b w:val="false"/>
          <w:i w:val="false"/>
          <w:color w:val="000000"/>
          <w:sz w:val="28"/>
        </w:rPr>
        <w:t xml:space="preserve">
      10. After the four main components are formed, the data are disaggregated by the regions of the Republic of Kazakhstan. </w:t>
      </w:r>
    </w:p>
    <w:bookmarkEnd w:id="44"/>
    <w:bookmarkStart w:name="z48" w:id="45"/>
    <w:p>
      <w:pPr>
        <w:spacing w:after="0"/>
        <w:ind w:left="0"/>
        <w:jc w:val="both"/>
      </w:pPr>
      <w:r>
        <w:rPr>
          <w:rFonts w:ascii="Times New Roman"/>
          <w:b w:val="false"/>
          <w:i w:val="false"/>
          <w:color w:val="000000"/>
          <w:sz w:val="28"/>
        </w:rPr>
        <w:t>
      11. Disaggregation is applied to the three main groups of healthcare services using three different methodological approaches:</w:t>
      </w:r>
    </w:p>
    <w:bookmarkEnd w:id="45"/>
    <w:bookmarkStart w:name="z49" w:id="46"/>
    <w:p>
      <w:pPr>
        <w:spacing w:after="0"/>
        <w:ind w:left="0"/>
        <w:jc w:val="both"/>
      </w:pPr>
      <w:r>
        <w:rPr>
          <w:rFonts w:ascii="Times New Roman"/>
          <w:b w:val="false"/>
          <w:i w:val="false"/>
          <w:color w:val="000000"/>
          <w:sz w:val="28"/>
        </w:rPr>
        <w:t>
      1) services of individual (HC.1-4) and collective (HC.6-9) consumption and others;</w:t>
      </w:r>
    </w:p>
    <w:bookmarkEnd w:id="46"/>
    <w:bookmarkStart w:name="z50" w:id="47"/>
    <w:p>
      <w:pPr>
        <w:spacing w:after="0"/>
        <w:ind w:left="0"/>
        <w:jc w:val="both"/>
      </w:pPr>
      <w:r>
        <w:rPr>
          <w:rFonts w:ascii="Times New Roman"/>
          <w:b w:val="false"/>
          <w:i w:val="false"/>
          <w:color w:val="000000"/>
          <w:sz w:val="28"/>
        </w:rPr>
        <w:t>
      2) pharmaceuticals and medical products (HC. 5);</w:t>
      </w:r>
    </w:p>
    <w:bookmarkEnd w:id="47"/>
    <w:bookmarkStart w:name="z51" w:id="48"/>
    <w:p>
      <w:pPr>
        <w:spacing w:after="0"/>
        <w:ind w:left="0"/>
        <w:jc w:val="both"/>
      </w:pPr>
      <w:r>
        <w:rPr>
          <w:rFonts w:ascii="Times New Roman"/>
          <w:b w:val="false"/>
          <w:i w:val="false"/>
          <w:color w:val="000000"/>
          <w:sz w:val="28"/>
        </w:rPr>
        <w:t xml:space="preserve">
      3) capital formation of healthcare entities (HC.RI.5). </w:t>
      </w:r>
    </w:p>
    <w:bookmarkEnd w:id="48"/>
    <w:bookmarkStart w:name="z52" w:id="49"/>
    <w:p>
      <w:pPr>
        <w:spacing w:after="0"/>
        <w:ind w:left="0"/>
        <w:jc w:val="both"/>
      </w:pPr>
      <w:r>
        <w:rPr>
          <w:rFonts w:ascii="Times New Roman"/>
          <w:b w:val="false"/>
          <w:i w:val="false"/>
          <w:color w:val="000000"/>
          <w:sz w:val="28"/>
        </w:rPr>
        <w:t xml:space="preserve">
      12. The NHA tables are disaggregated vertically by healthcare service provision factors. At the national level, data are needed to ensure the efficient and appropriate allocation of funds in the production and provision of healthcare goods and services. According to the SHA, the definition of service provision factors is limited. This category includes all resources intended for the activities of providers of medical services, such as compensation expenses for employees, materials and services related and not related to healthcare, consumption of fixed capital and others. The classification of production factors is presented in accordance with </w:t>
      </w:r>
      <w:r>
        <w:rPr>
          <w:rFonts w:ascii="Times New Roman"/>
          <w:b w:val="false"/>
          <w:i w:val="false"/>
          <w:color w:val="000000"/>
          <w:sz w:val="28"/>
        </w:rPr>
        <w:t>Appendix 5</w:t>
      </w:r>
      <w:r>
        <w:rPr>
          <w:rFonts w:ascii="Times New Roman"/>
          <w:b w:val="false"/>
          <w:i w:val="false"/>
          <w:color w:val="000000"/>
          <w:sz w:val="28"/>
        </w:rPr>
        <w:t xml:space="preserve">. </w:t>
      </w:r>
    </w:p>
    <w:bookmarkEnd w:id="49"/>
    <w:bookmarkStart w:name="z53" w:id="50"/>
    <w:p>
      <w:pPr>
        <w:spacing w:after="0"/>
        <w:ind w:left="0"/>
        <w:jc w:val="both"/>
      </w:pPr>
      <w:r>
        <w:rPr>
          <w:rFonts w:ascii="Times New Roman"/>
          <w:b w:val="false"/>
          <w:i w:val="false"/>
          <w:color w:val="000000"/>
          <w:sz w:val="28"/>
        </w:rPr>
        <w:t>
      13. The NHA coverage is defined as follows: national health spending covers all healthcare spending, which is a combination of all activities either by entities or individuals who, through the use of medical and paramedical knowledge and technology, as well as nursing care methods, pursue the following goals:</w:t>
      </w:r>
    </w:p>
    <w:bookmarkEnd w:id="50"/>
    <w:bookmarkStart w:name="z54" w:id="51"/>
    <w:p>
      <w:pPr>
        <w:spacing w:after="0"/>
        <w:ind w:left="0"/>
        <w:jc w:val="both"/>
      </w:pPr>
      <w:r>
        <w:rPr>
          <w:rFonts w:ascii="Times New Roman"/>
          <w:b w:val="false"/>
          <w:i w:val="false"/>
          <w:color w:val="000000"/>
          <w:sz w:val="28"/>
        </w:rPr>
        <w:t>
      1) health improvement and disease prevention;</w:t>
      </w:r>
    </w:p>
    <w:bookmarkEnd w:id="51"/>
    <w:bookmarkStart w:name="z55" w:id="52"/>
    <w:p>
      <w:pPr>
        <w:spacing w:after="0"/>
        <w:ind w:left="0"/>
        <w:jc w:val="both"/>
      </w:pPr>
      <w:r>
        <w:rPr>
          <w:rFonts w:ascii="Times New Roman"/>
          <w:b w:val="false"/>
          <w:i w:val="false"/>
          <w:color w:val="000000"/>
          <w:sz w:val="28"/>
        </w:rPr>
        <w:t xml:space="preserve">
      2) treatment of diseases and reduction of premature mortality; </w:t>
      </w:r>
    </w:p>
    <w:bookmarkEnd w:id="52"/>
    <w:bookmarkStart w:name="z56" w:id="53"/>
    <w:p>
      <w:pPr>
        <w:spacing w:after="0"/>
        <w:ind w:left="0"/>
        <w:jc w:val="both"/>
      </w:pPr>
      <w:r>
        <w:rPr>
          <w:rFonts w:ascii="Times New Roman"/>
          <w:b w:val="false"/>
          <w:i w:val="false"/>
          <w:color w:val="000000"/>
          <w:sz w:val="28"/>
        </w:rPr>
        <w:t>
      3) monitoring of and caring for chronic patients in need of nursing care;</w:t>
      </w:r>
    </w:p>
    <w:bookmarkEnd w:id="53"/>
    <w:bookmarkStart w:name="z57" w:id="54"/>
    <w:p>
      <w:pPr>
        <w:spacing w:after="0"/>
        <w:ind w:left="0"/>
        <w:jc w:val="both"/>
      </w:pPr>
      <w:r>
        <w:rPr>
          <w:rFonts w:ascii="Times New Roman"/>
          <w:b w:val="false"/>
          <w:i w:val="false"/>
          <w:color w:val="000000"/>
          <w:sz w:val="28"/>
        </w:rPr>
        <w:t>
      4) monitoring of and caring for people with poor health, incapacitated and disabled people in need of nursing care;</w:t>
      </w:r>
    </w:p>
    <w:bookmarkEnd w:id="54"/>
    <w:bookmarkStart w:name="z58" w:id="55"/>
    <w:p>
      <w:pPr>
        <w:spacing w:after="0"/>
        <w:ind w:left="0"/>
        <w:jc w:val="both"/>
      </w:pPr>
      <w:r>
        <w:rPr>
          <w:rFonts w:ascii="Times New Roman"/>
          <w:b w:val="false"/>
          <w:i w:val="false"/>
          <w:color w:val="000000"/>
          <w:sz w:val="28"/>
        </w:rPr>
        <w:t xml:space="preserve">
      5) provision and management of public health services; </w:t>
      </w:r>
    </w:p>
    <w:bookmarkEnd w:id="55"/>
    <w:bookmarkStart w:name="z59" w:id="56"/>
    <w:p>
      <w:pPr>
        <w:spacing w:after="0"/>
        <w:ind w:left="0"/>
        <w:jc w:val="both"/>
      </w:pPr>
      <w:r>
        <w:rPr>
          <w:rFonts w:ascii="Times New Roman"/>
          <w:b w:val="false"/>
          <w:i w:val="false"/>
          <w:color w:val="000000"/>
          <w:sz w:val="28"/>
        </w:rPr>
        <w:t>
      6) implementation of health and insurance programs;</w:t>
      </w:r>
    </w:p>
    <w:bookmarkEnd w:id="56"/>
    <w:bookmarkStart w:name="z60" w:id="57"/>
    <w:p>
      <w:pPr>
        <w:spacing w:after="0"/>
        <w:ind w:left="0"/>
        <w:jc w:val="both"/>
      </w:pPr>
      <w:r>
        <w:rPr>
          <w:rFonts w:ascii="Times New Roman"/>
          <w:b w:val="false"/>
          <w:i w:val="false"/>
          <w:color w:val="000000"/>
          <w:sz w:val="28"/>
        </w:rPr>
        <w:t>
      7) financing, and also management of these programs.</w:t>
      </w:r>
    </w:p>
    <w:bookmarkEnd w:id="57"/>
    <w:bookmarkStart w:name="z61" w:id="58"/>
    <w:p>
      <w:pPr>
        <w:spacing w:after="0"/>
        <w:ind w:left="0"/>
        <w:jc w:val="both"/>
      </w:pPr>
      <w:r>
        <w:rPr>
          <w:rFonts w:ascii="Times New Roman"/>
          <w:b w:val="false"/>
          <w:i w:val="false"/>
          <w:color w:val="000000"/>
          <w:sz w:val="28"/>
        </w:rPr>
        <w:t>
      14. The NHA takes into account all goods and services aimed at improving, maintaining or preventing the deterioration of the health status of the population, supplied by a domestic provider and (or) imported from abroad and consumed by the population living in this territory (residents).</w:t>
      </w:r>
    </w:p>
    <w:bookmarkEnd w:id="58"/>
    <w:bookmarkStart w:name="z62" w:id="59"/>
    <w:p>
      <w:pPr>
        <w:spacing w:after="0"/>
        <w:ind w:left="0"/>
        <w:jc w:val="both"/>
      </w:pPr>
      <w:r>
        <w:rPr>
          <w:rFonts w:ascii="Times New Roman"/>
          <w:b w:val="false"/>
          <w:i w:val="false"/>
          <w:color w:val="000000"/>
          <w:sz w:val="28"/>
        </w:rPr>
        <w:t xml:space="preserve">
      15. Three indicators of cost estimation used for international comparison are as follows: </w:t>
      </w:r>
    </w:p>
    <w:bookmarkEnd w:id="59"/>
    <w:bookmarkStart w:name="z63" w:id="60"/>
    <w:p>
      <w:pPr>
        <w:spacing w:after="0"/>
        <w:ind w:left="0"/>
        <w:jc w:val="both"/>
      </w:pPr>
      <w:r>
        <w:rPr>
          <w:rFonts w:ascii="Times New Roman"/>
          <w:b w:val="false"/>
          <w:i w:val="false"/>
          <w:color w:val="000000"/>
          <w:sz w:val="28"/>
        </w:rPr>
        <w:t>
      1) gross capital formation (intended for the acquisition of physical objects, the operating life of which exceeds 1 year);</w:t>
      </w:r>
    </w:p>
    <w:bookmarkEnd w:id="60"/>
    <w:bookmarkStart w:name="z64" w:id="61"/>
    <w:p>
      <w:pPr>
        <w:spacing w:after="0"/>
        <w:ind w:left="0"/>
        <w:jc w:val="both"/>
      </w:pPr>
      <w:r>
        <w:rPr>
          <w:rFonts w:ascii="Times New Roman"/>
          <w:b w:val="false"/>
          <w:i w:val="false"/>
          <w:color w:val="000000"/>
          <w:sz w:val="28"/>
        </w:rPr>
        <w:t xml:space="preserve">
      2) total current health financing (TCHF) (the amount of costs classified as HC.1 - HC.7 categories, which takes into account the expenses for individual healthcare (individual medical care) indicated above, plus the expenses for collective healthcare services and the operation of financing systems of organizations); </w:t>
      </w:r>
    </w:p>
    <w:bookmarkEnd w:id="61"/>
    <w:bookmarkStart w:name="z65" w:id="62"/>
    <w:p>
      <w:pPr>
        <w:spacing w:after="0"/>
        <w:ind w:left="0"/>
        <w:jc w:val="both"/>
      </w:pPr>
      <w:r>
        <w:rPr>
          <w:rFonts w:ascii="Times New Roman"/>
          <w:b w:val="false"/>
          <w:i w:val="false"/>
          <w:color w:val="000000"/>
          <w:sz w:val="28"/>
        </w:rPr>
        <w:t>
      3) total health financing (THF) (the amount that includes current health financing (HC.1-9) and gross capital formation expenditure (HC.R.5).</w:t>
      </w:r>
    </w:p>
    <w:bookmarkEnd w:id="62"/>
    <w:bookmarkStart w:name="z66" w:id="63"/>
    <w:p>
      <w:pPr>
        <w:spacing w:after="0"/>
        <w:ind w:left="0"/>
        <w:jc w:val="both"/>
      </w:pPr>
      <w:r>
        <w:rPr>
          <w:rFonts w:ascii="Times New Roman"/>
          <w:b w:val="false"/>
          <w:i w:val="false"/>
          <w:color w:val="000000"/>
          <w:sz w:val="28"/>
        </w:rPr>
        <w:t>
      In practice, for the formation of NHA tables, the cash method of accounting of funds is used, i.e. the recording of expenses being debited from an account.</w:t>
      </w:r>
    </w:p>
    <w:bookmarkEnd w:id="63"/>
    <w:bookmarkStart w:name="z67" w:id="64"/>
    <w:p>
      <w:pPr>
        <w:spacing w:after="0"/>
        <w:ind w:left="0"/>
        <w:jc w:val="both"/>
      </w:pPr>
      <w:r>
        <w:rPr>
          <w:rFonts w:ascii="Times New Roman"/>
          <w:b w:val="false"/>
          <w:i w:val="false"/>
          <w:color w:val="000000"/>
          <w:sz w:val="28"/>
        </w:rPr>
        <w:t>
      16. Based on the generated final tables, the analysis of the productivity of the healthcare system, which is the main tool for identifying the effectiveness of this activity, is made.</w:t>
      </w:r>
    </w:p>
    <w:bookmarkEnd w:id="64"/>
    <w:bookmarkStart w:name="z68" w:id="65"/>
    <w:p>
      <w:pPr>
        <w:spacing w:after="0"/>
        <w:ind w:left="0"/>
        <w:jc w:val="both"/>
      </w:pPr>
      <w:r>
        <w:rPr>
          <w:rFonts w:ascii="Times New Roman"/>
          <w:b w:val="false"/>
          <w:i w:val="false"/>
          <w:color w:val="000000"/>
          <w:sz w:val="28"/>
        </w:rPr>
        <w:t>
      17. The indicators of productivity are calculated according to the calculation of indicators of productivity of the healthcare system.</w:t>
      </w:r>
    </w:p>
    <w:bookmarkEnd w:id="65"/>
    <w:bookmarkStart w:name="z69" w:id="66"/>
    <w:p>
      <w:pPr>
        <w:spacing w:after="0"/>
        <w:ind w:left="0"/>
        <w:jc w:val="left"/>
      </w:pPr>
      <w:r>
        <w:rPr>
          <w:rFonts w:ascii="Times New Roman"/>
          <w:b/>
          <w:i w:val="false"/>
          <w:color w:val="000000"/>
        </w:rPr>
        <w:t xml:space="preserve"> Chapter 3. Procedure for using the data </w:t>
      </w:r>
    </w:p>
    <w:bookmarkEnd w:id="66"/>
    <w:bookmarkStart w:name="z70" w:id="67"/>
    <w:p>
      <w:pPr>
        <w:spacing w:after="0"/>
        <w:ind w:left="0"/>
        <w:jc w:val="both"/>
      </w:pPr>
      <w:r>
        <w:rPr>
          <w:rFonts w:ascii="Times New Roman"/>
          <w:b w:val="false"/>
          <w:i w:val="false"/>
          <w:color w:val="000000"/>
          <w:sz w:val="28"/>
        </w:rPr>
        <w:t>
      18. For the annual NHA formation based on the international methodology, the following data are used:</w:t>
      </w:r>
    </w:p>
    <w:bookmarkEnd w:id="67"/>
    <w:bookmarkStart w:name="z71" w:id="68"/>
    <w:p>
      <w:pPr>
        <w:spacing w:after="0"/>
        <w:ind w:left="0"/>
        <w:jc w:val="both"/>
      </w:pPr>
      <w:r>
        <w:rPr>
          <w:rFonts w:ascii="Times New Roman"/>
          <w:b w:val="false"/>
          <w:i w:val="false"/>
          <w:color w:val="000000"/>
          <w:sz w:val="28"/>
        </w:rPr>
        <w:t>
      1) statistical bulletins of the authorized body for state statistics;</w:t>
      </w:r>
    </w:p>
    <w:bookmarkEnd w:id="68"/>
    <w:bookmarkStart w:name="z72" w:id="69"/>
    <w:p>
      <w:pPr>
        <w:spacing w:after="0"/>
        <w:ind w:left="0"/>
        <w:jc w:val="both"/>
      </w:pPr>
      <w:r>
        <w:rPr>
          <w:rFonts w:ascii="Times New Roman"/>
          <w:b w:val="false"/>
          <w:i w:val="false"/>
          <w:color w:val="000000"/>
          <w:sz w:val="28"/>
        </w:rPr>
        <w:t>
      2) those of the authorized body for budget execution;</w:t>
      </w:r>
    </w:p>
    <w:bookmarkEnd w:id="69"/>
    <w:bookmarkStart w:name="z73" w:id="70"/>
    <w:p>
      <w:pPr>
        <w:spacing w:after="0"/>
        <w:ind w:left="0"/>
        <w:jc w:val="both"/>
      </w:pPr>
      <w:r>
        <w:rPr>
          <w:rFonts w:ascii="Times New Roman"/>
          <w:b w:val="false"/>
          <w:i w:val="false"/>
          <w:color w:val="000000"/>
          <w:sz w:val="28"/>
        </w:rPr>
        <w:t>
      3) those of local authorized bodies for budget execution with a breakdown by medical entities;</w:t>
      </w:r>
    </w:p>
    <w:bookmarkEnd w:id="70"/>
    <w:bookmarkStart w:name="z74" w:id="71"/>
    <w:p>
      <w:pPr>
        <w:spacing w:after="0"/>
        <w:ind w:left="0"/>
        <w:jc w:val="both"/>
      </w:pPr>
      <w:r>
        <w:rPr>
          <w:rFonts w:ascii="Times New Roman"/>
          <w:b w:val="false"/>
          <w:i w:val="false"/>
          <w:color w:val="000000"/>
          <w:sz w:val="28"/>
        </w:rPr>
        <w:t>
      4) statistical data published on the official websites of the National Bank of the Republic of Kazakhstan, the World Health Organization and the Organization for Economic Cooperation and Development.</w:t>
      </w:r>
    </w:p>
    <w:bookmarkEnd w:id="71"/>
    <w:bookmarkStart w:name="z75" w:id="72"/>
    <w:p>
      <w:pPr>
        <w:spacing w:after="0"/>
        <w:ind w:left="0"/>
        <w:jc w:val="both"/>
      </w:pPr>
      <w:r>
        <w:rPr>
          <w:rFonts w:ascii="Times New Roman"/>
          <w:b w:val="false"/>
          <w:i w:val="false"/>
          <w:color w:val="000000"/>
          <w:sz w:val="28"/>
        </w:rPr>
        <w:t>
      Based on the data, an analytical report describing the expenses is made, with a breakdown by services and providers of medical services, and also information on the sources of their financing is formed.</w:t>
      </w:r>
    </w:p>
    <w:bookmarkEnd w:id="72"/>
    <w:bookmarkStart w:name="z76" w:id="73"/>
    <w:p>
      <w:pPr>
        <w:spacing w:after="0"/>
        <w:ind w:left="0"/>
        <w:jc w:val="both"/>
      </w:pPr>
      <w:r>
        <w:rPr>
          <w:rFonts w:ascii="Times New Roman"/>
          <w:b w:val="false"/>
          <w:i w:val="false"/>
          <w:color w:val="000000"/>
          <w:sz w:val="28"/>
        </w:rPr>
        <w:t xml:space="preserve">
      19. The main types of healthcare expenditures with the indication of data sources are presented in accordance with </w:t>
      </w:r>
      <w:r>
        <w:rPr>
          <w:rFonts w:ascii="Times New Roman"/>
          <w:b w:val="false"/>
          <w:i w:val="false"/>
          <w:color w:val="000000"/>
          <w:sz w:val="28"/>
        </w:rPr>
        <w:t>Appendix 5</w:t>
      </w:r>
      <w:r>
        <w:rPr>
          <w:rFonts w:ascii="Times New Roman"/>
          <w:b w:val="false"/>
          <w:i w:val="false"/>
          <w:color w:val="000000"/>
          <w:sz w:val="28"/>
        </w:rPr>
        <w:t xml:space="preserve">. </w:t>
      </w:r>
    </w:p>
    <w:bookmarkEnd w:id="73"/>
    <w:bookmarkStart w:name="z77" w:id="74"/>
    <w:p>
      <w:pPr>
        <w:spacing w:after="0"/>
        <w:ind w:left="0"/>
        <w:jc w:val="both"/>
      </w:pPr>
      <w:r>
        <w:rPr>
          <w:rFonts w:ascii="Times New Roman"/>
          <w:b w:val="false"/>
          <w:i w:val="false"/>
          <w:color w:val="000000"/>
          <w:sz w:val="28"/>
        </w:rPr>
        <w:t xml:space="preserve">
      20. Data is collected from relevant organizations on or before the dates specified in </w:t>
      </w:r>
      <w:r>
        <w:rPr>
          <w:rFonts w:ascii="Times New Roman"/>
          <w:b w:val="false"/>
          <w:i w:val="false"/>
          <w:color w:val="000000"/>
          <w:sz w:val="28"/>
        </w:rPr>
        <w:t>Appendix 6</w:t>
      </w:r>
      <w:r>
        <w:rPr>
          <w:rFonts w:ascii="Times New Roman"/>
          <w:b w:val="false"/>
          <w:i w:val="false"/>
          <w:color w:val="000000"/>
          <w:sz w:val="28"/>
        </w:rPr>
        <w:t xml:space="preserve">. </w:t>
      </w:r>
    </w:p>
    <w:bookmarkEnd w:id="74"/>
    <w:bookmarkStart w:name="z78" w:id="75"/>
    <w:p>
      <w:pPr>
        <w:spacing w:after="0"/>
        <w:ind w:left="0"/>
        <w:jc w:val="both"/>
      </w:pPr>
      <w:r>
        <w:rPr>
          <w:rFonts w:ascii="Times New Roman"/>
          <w:b w:val="false"/>
          <w:i w:val="false"/>
          <w:color w:val="000000"/>
          <w:sz w:val="28"/>
        </w:rPr>
        <w:t>
      21. NHAs are used for economic analysis, decision-making and economic policy-making based on health expenditure indicators.</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of Order No KR DCM-66</w:t>
            </w:r>
            <w:r>
              <w:br/>
            </w:r>
            <w:r>
              <w:rPr>
                <w:rFonts w:ascii="Times New Roman"/>
                <w:b w:val="false"/>
                <w:i w:val="false"/>
                <w:color w:val="000000"/>
                <w:sz w:val="20"/>
              </w:rPr>
              <w:t>as of May 6, 2019 of the</w:t>
            </w:r>
            <w:r>
              <w:br/>
            </w:r>
            <w:r>
              <w:rPr>
                <w:rFonts w:ascii="Times New Roman"/>
                <w:b w:val="false"/>
                <w:i w:val="false"/>
                <w:color w:val="000000"/>
                <w:sz w:val="20"/>
              </w:rPr>
              <w:t>Minister of Healthcare</w:t>
            </w:r>
            <w:r>
              <w:br/>
            </w:r>
            <w:r>
              <w:rPr>
                <w:rFonts w:ascii="Times New Roman"/>
                <w:b w:val="false"/>
                <w:i w:val="false"/>
                <w:color w:val="000000"/>
                <w:sz w:val="20"/>
              </w:rPr>
              <w:t xml:space="preserve">of the Republic of Kazakhstan </w:t>
            </w:r>
          </w:p>
        </w:tc>
      </w:tr>
    </w:tbl>
    <w:bookmarkStart w:name="z80" w:id="76"/>
    <w:p>
      <w:pPr>
        <w:spacing w:after="0"/>
        <w:ind w:left="0"/>
        <w:jc w:val="left"/>
      </w:pPr>
      <w:r>
        <w:rPr>
          <w:rFonts w:ascii="Times New Roman"/>
          <w:b/>
          <w:i w:val="false"/>
          <w:color w:val="000000"/>
        </w:rPr>
        <w:t xml:space="preserve"> Income from financing schemes and sources of information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2234"/>
        <w:gridCol w:w="7629"/>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healthcare financing</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sources</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budget (republican and local) funds</w:t>
            </w:r>
            <w:r>
              <w:br/>
            </w:r>
            <w:r>
              <w:rPr>
                <w:rFonts w:ascii="Times New Roman"/>
                <w:b w:val="false"/>
                <w:i w:val="false"/>
                <w:color w:val="000000"/>
                <w:sz w:val="20"/>
              </w:rPr>
              <w:t>
State financing schemes (national and local levels)</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execution of the state budget of the authorized body for budget execution</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the Budget Code of the Republic of Kazakhstan (Article 125), the report on the execution of the republican and local budgets reflects the approved, updated, adjusted republican and local budgets, assumed, outstanding liabilities, execution of budget revenues and/or paid liabilities under the budget programs of the relevant budget. The budget process is carried out on the basis of the Unified Budget Classification, which is a grouping of budget revenues and expenses according to functional, departmental and economic characteristics with the assignment of grouped codes to classification objects. So, this category shall include funds of budget programs, the names of which make it possible to classify the funds as those intended for health purposes (primarily aimed at improving, maintaining and preventing the deterioration of public health and alleviating the consequences of poor health), as well as those associated with it, and are clear and unambiguous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Population/household expenses</w:t>
            </w:r>
            <w:r>
              <w:br/>
            </w:r>
            <w:r>
              <w:rPr>
                <w:rFonts w:ascii="Times New Roman"/>
                <w:b w:val="false"/>
                <w:i w:val="false"/>
                <w:color w:val="000000"/>
                <w:sz w:val="20"/>
              </w:rPr>
              <w:t>
Private household expenses</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information “GDP - by end use”, bulletins “Expenses and incomes of the population of the Republic of Kazakhstan”, “Expenses and incomes of households of the Republic of Kazakhstan” of the authorized body for state statistics</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amount of household expenses is defined as the proportion of goods and services consumed by households in the structure of GDP calculated using the end-use method. The structure of household expenses on healthcare (expenses on hospital services, purchase of medicines, etc.) is published in the bulletins “Expenses and incomes of households of the Republic of Kazakhstan”, “Expenses and incomes of the population of the Republic of Kazakhstan” of the authorized body for state statistics based on the results of quarterly household surveys in the regions of the Republic of Kazakhstan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enterprises</w:t>
            </w:r>
            <w:r>
              <w:br/>
            </w:r>
            <w:r>
              <w:rPr>
                <w:rFonts w:ascii="Times New Roman"/>
                <w:b w:val="false"/>
                <w:i w:val="false"/>
                <w:color w:val="000000"/>
                <w:sz w:val="20"/>
              </w:rPr>
              <w:t>
Enterprise financing schemes</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Bulletins of the authorized body for statistics “On the financial and economic activities of healthcare entities in the Republic of Kazakhstan” (Social Finance (healthcare), “Volume of services rendered in the field of healthcare and the provision of social services” (Healthcare services).</w:t>
            </w: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data in the reports in the form of Social Finance (healthcare) are submitted by legal entities and/or their structural and separate units mainly carrying out such activities as: “Activities in the field of healthcare” according to CCEA code - 86, regardless of the form of ownership and staff size. The structure of the report includes data on current and capital expenditures and incomes at the expense of the state budget, the population and enterprises, as well as by types of healthcare services rendered and by sources of financing.</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health insurance contributions</w:t>
            </w:r>
            <w:r>
              <w:br/>
            </w:r>
            <w:r>
              <w:rPr>
                <w:rFonts w:ascii="Times New Roman"/>
                <w:b w:val="false"/>
                <w:i w:val="false"/>
                <w:color w:val="000000"/>
                <w:sz w:val="20"/>
              </w:rPr>
              <w:t>
Voluntary medical contribution schemes</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report on insurance payments with regard to insurance (reinsurance) organizations of the Republic of Kazakhstan. (official website of the National Bank of the Republic of Kazakhstan)</w:t>
            </w: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is presented in the form of aggregated administrative data on insurance payments by insurance (reinsurance) organizations for voluntary personal insurance of citizens of the Republic of Kazakhstan (foreign citizens, stateless persons, foreign legal entities, including those operating in the Republic of Kazakhstan) in case of illness. However, in order to avoid double entry accounting, the data on this expense item are not taken into account in the structure of total expenditures on healthcare, as they have already been recognized in enterprises’ funds.</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loan</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execution of the state budget of the authorized body for budget execution</w:t>
            </w: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category shall include the funds of budget programs, the names of which make it possible to classify the funds as those intended for health purposes “Using external loans”</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foreign transfers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OECD database, the Development Assistance Committee, Creditor Reporting System</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database provides information from the Development Assistance Committee about donor funds received by Kazakhstan for the purposes of healthcare. These are detailed data on charitable activities of individual states, international development agencies and other international organizations, indicating the name of the projects, their characteristics, description of the recipient, and other information. In order to avoid double entry accounting, funds received from external sources of financing, which were recorded in the category of “State loan”, are not accounted for in this category.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Rules of Order No KR DCM-66</w:t>
            </w:r>
            <w:r>
              <w:br/>
            </w:r>
            <w:r>
              <w:rPr>
                <w:rFonts w:ascii="Times New Roman"/>
                <w:b w:val="false"/>
                <w:i w:val="false"/>
                <w:color w:val="000000"/>
                <w:sz w:val="20"/>
              </w:rPr>
              <w:t>as of May 6, 2019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p>
        </w:tc>
      </w:tr>
    </w:tbl>
    <w:bookmarkStart w:name="z82" w:id="77"/>
    <w:p>
      <w:pPr>
        <w:spacing w:after="0"/>
        <w:ind w:left="0"/>
        <w:jc w:val="left"/>
      </w:pPr>
      <w:r>
        <w:rPr>
          <w:rFonts w:ascii="Times New Roman"/>
          <w:b/>
          <w:i w:val="false"/>
          <w:color w:val="000000"/>
        </w:rPr>
        <w:t xml:space="preserve"> Healthcare financing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
        <w:gridCol w:w="11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 category</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sources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expenses</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on the execution of the state budget formed by the authorized body for budget execution on a regular basis with a breakdown by the categories of the Unified Budget Classification. The report‘s relevance and applicability for NHA creation is explained by the unity of the underlying methodology. The budget classification used in the republic is developed on the basis of the System of National Accounts and other IMF recommendations. Information on public expenditures is detailed by studying the data of management reporting generated by structural units of the authorized body for healthcare, and also by requesting regional health departments.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Private expenses</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bulletins:</w:t>
            </w:r>
            <w:r>
              <w:br/>
            </w:r>
            <w:r>
              <w:rPr>
                <w:rFonts w:ascii="Times New Roman"/>
                <w:b w:val="false"/>
                <w:i w:val="false"/>
                <w:color w:val="000000"/>
                <w:sz w:val="20"/>
              </w:rPr>
              <w:t xml:space="preserve">
- “On the financial and economic activities of healthcare entities in the Republic of Kazakhstan” (Social Finance (healthcare); </w:t>
            </w:r>
            <w:r>
              <w:br/>
            </w:r>
            <w:r>
              <w:rPr>
                <w:rFonts w:ascii="Times New Roman"/>
                <w:b w:val="false"/>
                <w:i w:val="false"/>
                <w:color w:val="000000"/>
                <w:sz w:val="20"/>
              </w:rPr>
              <w:t xml:space="preserve">
- “Volume of services rendered in the field of healthcare and the provision of social services” (Healthcare services); </w:t>
            </w:r>
            <w:r>
              <w:br/>
            </w:r>
            <w:r>
              <w:rPr>
                <w:rFonts w:ascii="Times New Roman"/>
                <w:b w:val="false"/>
                <w:i w:val="false"/>
                <w:color w:val="000000"/>
                <w:sz w:val="20"/>
              </w:rPr>
              <w:t>
- “Expenses and incomes of households of the Republic of Kazakhstan”;</w:t>
            </w:r>
            <w:r>
              <w:br/>
            </w:r>
            <w:r>
              <w:rPr>
                <w:rFonts w:ascii="Times New Roman"/>
                <w:b w:val="false"/>
                <w:i w:val="false"/>
                <w:color w:val="000000"/>
                <w:sz w:val="20"/>
              </w:rPr>
              <w:t>
- “Expenses and incomes of the population of the Republic of Kazakhstan”.</w:t>
            </w:r>
            <w:r>
              <w:br/>
            </w:r>
            <w:r>
              <w:rPr>
                <w:rFonts w:ascii="Times New Roman"/>
                <w:b w:val="false"/>
                <w:i w:val="false"/>
                <w:color w:val="000000"/>
                <w:sz w:val="20"/>
              </w:rPr>
              <w:t>
These documents are generated by the authorized body for state statistics on a regular basis. So, the form of Social Finance (healthcare) covers all business entities of healthcare, regardless of ownership, with the distribution by current and capital expenses of balance sheet items. In turn, the bulletin “Expenses and incomes of households of the Republic of Kazakhstan” makes it possible to study the functional structure of household expenses, determine the types of services/goods consumed, and the amount of expenses for their acquisition.</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health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report on insurance payments with regard to insurance (reinsurance) organizations of the Republic of Kazakhstan and Consolidated report on insurance premiums with regard to insurance (reinsurance) organizations of the Republic of Kazakhstan</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External sources of financing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sources of financing include funds of state loans of the Government of the Republic of Kazakhstan and donor funds. The source of data on state loans is the “Report on the execution of the state budget” formed by the central authorized body for budget execution, the funds of the budget program “Reforming the healthcare system” administered by the authorized body for healthcare within the project of the Government of the Republic of Kazakhstan and the International Bank for Reconstruction and Development “Health sector technology transfer and institutional reform in the Republic of Kazakhstan”. Data on donor funds is published in the “Creditor Reporting System” database of the OECD Development Assistance Committee and represent funds allocated for healthcare purposes by members of the Development Assistance Committee (29 countries), international organizations (such as the Global Fund, UNICEF, etc.) and countries that are not members of this Committee (for example, the UAE, Kuwait, etc.).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 of</w:t>
            </w:r>
            <w:r>
              <w:br/>
            </w:r>
            <w:r>
              <w:rPr>
                <w:rFonts w:ascii="Times New Roman"/>
                <w:b w:val="false"/>
                <w:i w:val="false"/>
                <w:color w:val="000000"/>
                <w:sz w:val="20"/>
              </w:rPr>
              <w:t>Order No KR DCM-66</w:t>
            </w:r>
            <w:r>
              <w:br/>
            </w:r>
            <w:r>
              <w:rPr>
                <w:rFonts w:ascii="Times New Roman"/>
                <w:b w:val="false"/>
                <w:i w:val="false"/>
                <w:color w:val="000000"/>
                <w:sz w:val="20"/>
              </w:rPr>
              <w:t>as of May 6, 2019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p>
        </w:tc>
      </w:tr>
    </w:tbl>
    <w:bookmarkStart w:name="z84" w:id="78"/>
    <w:p>
      <w:pPr>
        <w:spacing w:after="0"/>
        <w:ind w:left="0"/>
        <w:jc w:val="left"/>
      </w:pPr>
      <w:r>
        <w:rPr>
          <w:rFonts w:ascii="Times New Roman"/>
          <w:b/>
          <w:i w:val="false"/>
          <w:color w:val="000000"/>
        </w:rPr>
        <w:t xml:space="preserve"> Major healthcare providers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3461"/>
        <w:gridCol w:w="6310"/>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 classification of providers</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according to the Healthcare Facilities Nomenclature</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Examples of facilities indicated in NHA tables</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Hospitals (HP.1.)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Inpatient care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Hospitals, mental health centers, remedial treatment and medical rehabilitation facilities (drug, alcohol addiction), specialized sanatorium </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Healthcare Holding</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Healthcare Holding</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Remedial treatment and medical rehabilitation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specialized sanatorium, dispensary, rehabilitation center</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care facilities (HP.2.)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care and nursing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hospitals, palliative care centers (hospice)</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 healthcare providers (HP.3.)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 care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 of general practitioners, offices of other specialists, outpatient treatment centers, dental rooms</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service providers (HP.4.)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Ambulance and air medical service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providing patient transportation and patient life-saving services in emergency situations</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Blood service facilities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providing patient transportation and patient life-saving services in emergency situations, other organizations providing additional services</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operating in the field of forensic medicine and pathological anatomy</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facilities operating in the field of pathological anatomy (cytopathology)</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product providers and retailers (HP.5.)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healthcare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Pharmacies, facilities selling medical devices and medical equipment</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care facilities (HP.6.)</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facilities engaged in the development of a healthy lifestyle</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Aggregated data (expenses for this item are not recorded separately)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management organizations (HP.7.)</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and central public health authorities</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sectors of the economy (HP.8.)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research organizations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institutions and healthcare providers representing other sectors of the national economy.</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 educational institutions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technical and vocational, post-secondary educational institutions in the field of healthcare</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 of the world (HP.9.)</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category takes into account funds allocated for the treatment of citizens of the Republic of Kazakhstan abroad</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providing undefined type of services (HP.11.)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Disaster medicine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data allow only indirectly determine the purpose of funds without identifying providers</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medical supply base (HP.13.)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medical facilities</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medical supply base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 of Order</w:t>
            </w:r>
            <w:r>
              <w:br/>
            </w:r>
            <w:r>
              <w:rPr>
                <w:rFonts w:ascii="Times New Roman"/>
                <w:b w:val="false"/>
                <w:i w:val="false"/>
                <w:color w:val="000000"/>
                <w:sz w:val="20"/>
              </w:rPr>
              <w:t>No KR DCM-66</w:t>
            </w:r>
            <w:r>
              <w:br/>
            </w:r>
            <w:r>
              <w:rPr>
                <w:rFonts w:ascii="Times New Roman"/>
                <w:b w:val="false"/>
                <w:i w:val="false"/>
                <w:color w:val="000000"/>
                <w:sz w:val="20"/>
              </w:rPr>
              <w:t>as of May 6, 2019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p>
        </w:tc>
      </w:tr>
    </w:tbl>
    <w:bookmarkStart w:name="z86" w:id="79"/>
    <w:p>
      <w:pPr>
        <w:spacing w:after="0"/>
        <w:ind w:left="0"/>
        <w:jc w:val="left"/>
      </w:pPr>
      <w:r>
        <w:rPr>
          <w:rFonts w:ascii="Times New Roman"/>
          <w:b/>
          <w:i w:val="false"/>
          <w:color w:val="000000"/>
        </w:rPr>
        <w:t xml:space="preserve"> Functions of healthcare providers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2134"/>
        <w:gridCol w:w="7016"/>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functions of healthcare providers</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assistance forms according to the Code</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Examples of functions of healthcare providers</w:t>
            </w:r>
          </w:p>
        </w:tc>
      </w:tr>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Treatment services (HC.1.)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Inpatient care</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inpatient care, highly specialized inpatient care</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Inpatient-type care</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at a day-patient facility</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 care:</w:t>
            </w:r>
            <w:r>
              <w:br/>
            </w:r>
            <w:r>
              <w:rPr>
                <w:rFonts w:ascii="Times New Roman"/>
                <w:b w:val="false"/>
                <w:i w:val="false"/>
                <w:color w:val="000000"/>
                <w:sz w:val="20"/>
              </w:rPr>
              <w:t>
- primary healthcare;</w:t>
            </w:r>
            <w:r>
              <w:br/>
            </w:r>
            <w:r>
              <w:rPr>
                <w:rFonts w:ascii="Times New Roman"/>
                <w:b w:val="false"/>
                <w:i w:val="false"/>
                <w:color w:val="000000"/>
                <w:sz w:val="20"/>
              </w:rPr>
              <w:t>
- consultative and diagnostic assistance</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healthcare, outpatient dental treatment, specialized outpatient care</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treatment (HC.2.)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Remedial treatment and medical rehabilitation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Remedial treatment and medical rehabilitation at health resort facilities</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medical care (HC.3.)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and nursing care</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and nursing care</w:t>
            </w:r>
          </w:p>
        </w:tc>
      </w:tr>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services (HC.4.)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medical care</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emergency medical care and patient transportation, services of pathological anatomy, provision with donor blood, its components and preparations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medical services</w:t>
            </w:r>
          </w:p>
        </w:tc>
        <w:tc>
          <w:tcPr>
            <w:tcW w:w="0" w:type="auto"/>
            <w:vMerge/>
            <w:tcBorders>
              <w:top w:val="nil"/>
              <w:left w:val="single" w:color="cfcfcf" w:sz="5"/>
              <w:bottom w:val="single" w:color="cfcfcf" w:sz="5"/>
              <w:right w:val="single" w:color="cfcfcf" w:sz="5"/>
            </w:tcBorders>
          </w:tcP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products (HC.5.)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and other non-durable medical products, therapeutic devices and other durable medical products</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Prophylactic services (HC.6.)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Immunization programs, information, education and consultative programs</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Administration, healthcare system and financial administration (HC.7.)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healthcare system and financial administration, ensuring the activities of the authorized body for healthcare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 of Order</w:t>
            </w:r>
            <w:r>
              <w:br/>
            </w:r>
            <w:r>
              <w:rPr>
                <w:rFonts w:ascii="Times New Roman"/>
                <w:b w:val="false"/>
                <w:i w:val="false"/>
                <w:color w:val="000000"/>
                <w:sz w:val="20"/>
              </w:rPr>
              <w:t>No KR DCM-66</w:t>
            </w:r>
            <w:r>
              <w:br/>
            </w:r>
            <w:r>
              <w:rPr>
                <w:rFonts w:ascii="Times New Roman"/>
                <w:b w:val="false"/>
                <w:i w:val="false"/>
                <w:color w:val="000000"/>
                <w:sz w:val="20"/>
              </w:rPr>
              <w:t>as of May 6, 2019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p>
        </w:tc>
      </w:tr>
    </w:tbl>
    <w:bookmarkStart w:name="z88" w:id="80"/>
    <w:p>
      <w:pPr>
        <w:spacing w:after="0"/>
        <w:ind w:left="0"/>
        <w:jc w:val="left"/>
      </w:pPr>
      <w:r>
        <w:rPr>
          <w:rFonts w:ascii="Times New Roman"/>
          <w:b/>
          <w:i w:val="false"/>
          <w:color w:val="000000"/>
        </w:rPr>
        <w:t xml:space="preserve"> Classification of production factors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61"/>
        <w:gridCol w:w="3283"/>
        <w:gridCol w:w="8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 2011 code</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expenses to employees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payments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other expenses related to employees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for self-employed workers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and services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services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products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3.2.1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3.2.2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healthcare products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Non-healthcare services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Non-healthcare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capital consumption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spent on “inputs”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5.1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5.2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Rules</w:t>
            </w:r>
            <w:r>
              <w:br/>
            </w:r>
            <w:r>
              <w:rPr>
                <w:rFonts w:ascii="Times New Roman"/>
                <w:b w:val="false"/>
                <w:i w:val="false"/>
                <w:color w:val="000000"/>
                <w:sz w:val="20"/>
              </w:rPr>
              <w:t>of Order No KR DCM-66</w:t>
            </w:r>
            <w:r>
              <w:br/>
            </w:r>
            <w:r>
              <w:rPr>
                <w:rFonts w:ascii="Times New Roman"/>
                <w:b w:val="false"/>
                <w:i w:val="false"/>
                <w:color w:val="000000"/>
                <w:sz w:val="20"/>
              </w:rPr>
              <w:t>as of May 6, 2019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p>
        </w:tc>
      </w:tr>
    </w:tbl>
    <w:bookmarkStart w:name="z90" w:id="81"/>
    <w:p>
      <w:pPr>
        <w:spacing w:after="0"/>
        <w:ind w:left="0"/>
        <w:jc w:val="left"/>
      </w:pPr>
      <w:r>
        <w:rPr>
          <w:rFonts w:ascii="Times New Roman"/>
          <w:b/>
          <w:i w:val="false"/>
          <w:color w:val="000000"/>
        </w:rPr>
        <w:t xml:space="preserve"> Schedule of NHA data collection in ________(year) (for ________ (year))</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090"/>
        <w:gridCol w:w="6720"/>
        <w:gridCol w:w="124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Input data</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website of the National Bank of the Republic of Kazakhstan</w:t>
            </w: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report on insurance payments with regard to insurance (reinsurance) organizations of the Republic of Kazakhstan</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report on insurance premiums with regard to insurance (reinsurance) organizations of the Republic of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Health Insurance Fund” NC JSC of the Republic of Kazakhstan of the authorized body for healthcare</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data on income and expenses in the system of compulsory social health insurance (CSHI) for the previous year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 for budget execution</w:t>
            </w: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execution of the republican and local budgets</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execution of revenues of the republican and local budgets</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 for healthcare</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expenses within the 067 budget program “Ensuring the guaranteed volume of free medical care” with a breakdown by budget subprograms</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implementation of the financing plan for the 067 budget program throughout the Republic of Kazakhstan and by regions (IS “MFQMS”)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execution of funds allocated from the republican budget within the 070 budget program “Public Health Protection”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healthcare financing from local budgets with a breakdown by budget programs, medical organizations, services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expenses for the 066 budget program “Provision of medical care within compulsory social health insurance and its support” with a breakdown by budget subprograms</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departments of regions, cities of republican significance</w:t>
            </w: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healthcare financing from local budgets with a breakdown by budget programs, medical organizations, services</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expenses of local and republican budgets within the 039 budget program with a breakdown by forms of assistance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expenses of local and republican budgets within the 041 budget programs with a breakdown by forms of assistance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expenses of local and republican budgets within the 027 budget program</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 for state statistics</w:t>
            </w: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and incomes of households of the Republic of Kazakhstan”, statistical form</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and incomes of the population of the Republic of Kazakhstan”, statistical form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main indicators of the financial and economic activities of a healthcare entity”, the Social Finance (healthcare) statistical form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volume of services rendered in the field of healthcare and the provision of social services”, the statistical form of the Service (healthcare)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the main socio-economic indicators of the Republic of Kazakhstan”, statistical form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and wholesale trade in the Republic of Kazakhstan” by region, statistical form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Statistics departments of the regions of the Republic of Kazakhstan</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main indicators of the financial and economic activities of a healthcare entity”, the Social Finance (healthcare) statistical form</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volume of services rendered in the field of healthcare and the provision of social services”, the statistical form of the Service (healthcare)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and incomes of households of the Republic of Kazakhstan”, statistical form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and incomes of the population of the Republic of Kazakhstan”, statistical form</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Health Organization</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healthcare financing in OECD countries, a group of countries with a high-medium level of development and some other countries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Assistance Committee of the Organization for Economic Cooperation and Development</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donor funds published in the “Creditor Reporting System” database</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