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5e56" w14:textId="f3f5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for which electronic invoices are issued through the module "Virtual warehouse" of the information system of electronic invoices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384 of the First Deputy Prime-Minister of the Republic of Kazakhstan – Minister of Finance of the Republic of Kazakhstan dated April 23, 2019. Registered in the Ministry of Justice of the Republic of Kazakhstan on April 29, 2019 № 18603.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3-1 of Article 412 of the Code of the Republic of Kazakhstan “On Taxes and Other Obligatory Payments to the Budget” (Tax Code), I </w:t>
      </w:r>
      <w:r>
        <w:rPr>
          <w:rFonts w:ascii="Times New Roman"/>
          <w:b/>
          <w:i w:val="false"/>
          <w:color w:val="000000"/>
          <w:sz w:val="28"/>
        </w:rPr>
        <w:t>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Finance of RK № 1127 of 01.11.2021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Footnote. The preamble - as reworded by order of the Minister of Finance of the Republic of Kazakhstan № 1127 dated 01.11.2021 (shall come into effect upon expiry of ten calendar days after the day of its first official publication).</w:t>
      </w:r>
    </w:p>
    <w:p>
      <w:pPr>
        <w:spacing w:after="0"/>
        <w:ind w:left="0"/>
        <w:jc w:val="both"/>
      </w:pPr>
      <w:r>
        <w:rPr>
          <w:rFonts w:ascii="Times New Roman"/>
          <w:b w:val="false"/>
          <w:i w:val="false"/>
          <w:color w:val="000000"/>
          <w:sz w:val="28"/>
        </w:rPr>
        <w:t>
      1. To approve the attached list of goods for which electronic invoices are issued through the module "Virtual warehouse" of the information system of electronic invoices (hereinafter-the List).</w:t>
      </w:r>
    </w:p>
    <w:p>
      <w:pPr>
        <w:spacing w:after="0"/>
        <w:ind w:left="0"/>
        <w:jc w:val="both"/>
      </w:pPr>
      <w:r>
        <w:rPr>
          <w:rFonts w:ascii="Times New Roman"/>
          <w:b w:val="false"/>
          <w:i w:val="false"/>
          <w:color w:val="000000"/>
          <w:sz w:val="28"/>
        </w:rPr>
        <w:t>
      2. The state revenue Committee of the Ministry of Finance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in Ministry of Justice of the Republic of Kazakhstan submission of information on implementation of measures provided by subparagraphs 1), 2) and 3) of this paragraph to the legal Department of the Ministry of Finance of the Republic of Kazakhstan.</w:t>
      </w:r>
    </w:p>
    <w:p>
      <w:pPr>
        <w:spacing w:after="0"/>
        <w:ind w:left="0"/>
        <w:jc w:val="both"/>
      </w:pPr>
      <w:r>
        <w:rPr>
          <w:rFonts w:ascii="Times New Roman"/>
          <w:b w:val="false"/>
          <w:i w:val="false"/>
          <w:color w:val="000000"/>
          <w:sz w:val="28"/>
        </w:rPr>
        <w:t>
      3. This order shall be enforced upon the expiry of ten calendar days after its first official publication and shall apply, with the exception of paragraphs 226-335 of the List, to legal relations arising from January 1,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First Deputy Prime-Minister</w:t>
            </w:r>
            <w:r>
              <w:br/>
            </w:r>
            <w:r>
              <w:rPr>
                <w:rFonts w:ascii="Times New Roman"/>
                <w:b w:val="false"/>
                <w:i w:val="false"/>
                <w:color w:val="000000"/>
                <w:sz w:val="20"/>
              </w:rPr>
              <w:t>Republic of Kazakhstan –</w:t>
            </w:r>
            <w:r>
              <w:br/>
            </w:r>
            <w:r>
              <w:rPr>
                <w:rFonts w:ascii="Times New Roman"/>
                <w:b w:val="false"/>
                <w:i w:val="false"/>
                <w:color w:val="000000"/>
                <w:sz w:val="20"/>
              </w:rPr>
              <w:t xml:space="preserve">Minister of Finance </w:t>
            </w:r>
            <w:r>
              <w:br/>
            </w:r>
            <w:r>
              <w:rPr>
                <w:rFonts w:ascii="Times New Roman"/>
                <w:b w:val="false"/>
                <w:i w:val="false"/>
                <w:color w:val="000000"/>
                <w:sz w:val="20"/>
              </w:rPr>
              <w:t>of the Republic of Kazakhstan</w:t>
            </w:r>
            <w:r>
              <w:br/>
            </w:r>
            <w:r>
              <w:rPr>
                <w:rFonts w:ascii="Times New Roman"/>
                <w:b w:val="false"/>
                <w:i w:val="false"/>
                <w:color w:val="000000"/>
                <w:sz w:val="20"/>
              </w:rPr>
              <w:t>dated April 23, 2019, № 384</w:t>
            </w:r>
          </w:p>
        </w:tc>
      </w:tr>
    </w:tbl>
    <w:p>
      <w:pPr>
        <w:spacing w:after="0"/>
        <w:ind w:left="0"/>
        <w:jc w:val="left"/>
      </w:pPr>
      <w:r>
        <w:rPr>
          <w:rFonts w:ascii="Times New Roman"/>
          <w:b/>
          <w:i w:val="false"/>
          <w:color w:val="000000"/>
        </w:rPr>
        <w:t xml:space="preserve"> List of goods invoiced electronically via the Virtual Warehouse module of the electronic invoicing information system </w:t>
      </w:r>
    </w:p>
    <w:p>
      <w:pPr>
        <w:spacing w:after="0"/>
        <w:ind w:left="0"/>
        <w:jc w:val="both"/>
      </w:pPr>
      <w:r>
        <w:rPr>
          <w:rFonts w:ascii="Times New Roman"/>
          <w:b w:val="false"/>
          <w:i w:val="false"/>
          <w:color w:val="ff0000"/>
          <w:sz w:val="28"/>
        </w:rPr>
        <w:t>
      Footnote. The List as revised by order of the Minister of Finance of the Republic of Kazakhstan dated 20.06.2025 № 312 (shall come into force from 01.09.2025).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Commodity Nomenclature of Foreign Economic Activities of the Eurasian Economic Union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 in receptacles of 2 litres or less:</w:t>
            </w:r>
          </w:p>
          <w:p>
            <w:pPr>
              <w:spacing w:after="20"/>
              <w:ind w:left="20"/>
              <w:jc w:val="both"/>
            </w:pPr>
            <w:r>
              <w:rPr>
                <w:rFonts w:ascii="Times New Roman"/>
                <w:b w:val="false"/>
                <w:i w:val="false"/>
                <w:color w:val="000000"/>
                <w:sz w:val="20"/>
              </w:rPr>
              <w:t>
— — — Cognac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 in receptacles of 2 litres or less:</w:t>
            </w:r>
          </w:p>
          <w:p>
            <w:pPr>
              <w:spacing w:after="20"/>
              <w:ind w:left="20"/>
              <w:jc w:val="both"/>
            </w:pPr>
            <w:r>
              <w:rPr>
                <w:rFonts w:ascii="Times New Roman"/>
                <w:b w:val="false"/>
                <w:i w:val="false"/>
                <w:color w:val="000000"/>
                <w:sz w:val="20"/>
              </w:rPr>
              <w:t>
— — — Armagnac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xml:space="preserve">
— alcoholic tinctures obtained from the distillation of grape wine or grape pressings: </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grappa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raw distillates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—Cognac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xml:space="preserve">
— alcoholic tinctures obtained from the distillation of grape wine or grape pressings: </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—Armagnac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xml:space="preserve">
— alcoholic tinctures obtained from the distillation of grape wine or grape pressings: </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grappa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xml:space="preserve">
— alcoholic tinctures obtained from the distillation of grape wine or grape pressings: </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alcoholic tinctures obtained from the distillation of grape wine or grape pressings:</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Bourbon whiskey,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Bourbon whiskey,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single malt whisky:</w:t>
            </w:r>
          </w:p>
          <w:p>
            <w:pPr>
              <w:spacing w:after="20"/>
              <w:ind w:left="20"/>
              <w:jc w:val="both"/>
            </w:pPr>
            <w:r>
              <w:rPr>
                <w:rFonts w:ascii="Times New Roman"/>
                <w:b w:val="false"/>
                <w:i w:val="false"/>
                <w:color w:val="000000"/>
                <w:sz w:val="20"/>
              </w:rPr>
              <w:t>
— — — in receptacles of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single malt whisky:</w:t>
            </w:r>
          </w:p>
          <w:p>
            <w:pPr>
              <w:spacing w:after="20"/>
              <w:ind w:left="20"/>
              <w:jc w:val="both"/>
            </w:pPr>
            <w:r>
              <w:rPr>
                <w:rFonts w:ascii="Times New Roman"/>
                <w:b w:val="false"/>
                <w:i w:val="false"/>
                <w:color w:val="000000"/>
                <w:sz w:val="20"/>
              </w:rPr>
              <w:t>
— — — — in receptacles with a capacity of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blended malt whisky, in receptacles with a capacity of:</w:t>
            </w:r>
          </w:p>
          <w:p>
            <w:pPr>
              <w:spacing w:after="20"/>
              <w:ind w:left="20"/>
              <w:jc w:val="both"/>
            </w:pPr>
            <w:r>
              <w:rPr>
                <w:rFonts w:ascii="Times New Roman"/>
                <w:b w:val="false"/>
                <w:i w:val="false"/>
                <w:color w:val="000000"/>
                <w:sz w:val="20"/>
              </w:rPr>
              <w:t>
—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blended malt whisky, in receptacles with a capacity of:</w:t>
            </w:r>
          </w:p>
          <w:p>
            <w:pPr>
              <w:spacing w:after="20"/>
              <w:ind w:left="20"/>
              <w:jc w:val="both"/>
            </w:pPr>
            <w:r>
              <w:rPr>
                <w:rFonts w:ascii="Times New Roman"/>
                <w:b w:val="false"/>
                <w:i w:val="false"/>
                <w:color w:val="000000"/>
                <w:sz w:val="20"/>
              </w:rPr>
              <w:t>
—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single grain whisky and blended grain whisky, in receptacles with a capacity of:</w:t>
            </w:r>
          </w:p>
          <w:p>
            <w:pPr>
              <w:spacing w:after="20"/>
              <w:ind w:left="20"/>
              <w:jc w:val="both"/>
            </w:pPr>
            <w:r>
              <w:rPr>
                <w:rFonts w:ascii="Times New Roman"/>
                <w:b w:val="false"/>
                <w:i w:val="false"/>
                <w:color w:val="000000"/>
                <w:sz w:val="20"/>
              </w:rPr>
              <w:t>
—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single grain whisky and blended grain whisky, in receptacles with a capacity of:</w:t>
            </w:r>
          </w:p>
          <w:p>
            <w:pPr>
              <w:spacing w:after="20"/>
              <w:ind w:left="20"/>
              <w:jc w:val="both"/>
            </w:pPr>
            <w:r>
              <w:rPr>
                <w:rFonts w:ascii="Times New Roman"/>
                <w:b w:val="false"/>
                <w:i w:val="false"/>
                <w:color w:val="000000"/>
                <w:sz w:val="20"/>
              </w:rPr>
              <w:t>
—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other blended whisky, in receptacles with a capacity of:</w:t>
            </w:r>
          </w:p>
          <w:p>
            <w:pPr>
              <w:spacing w:after="20"/>
              <w:ind w:left="20"/>
              <w:jc w:val="both"/>
            </w:pPr>
            <w:r>
              <w:rPr>
                <w:rFonts w:ascii="Times New Roman"/>
                <w:b w:val="false"/>
                <w:i w:val="false"/>
                <w:color w:val="000000"/>
                <w:sz w:val="20"/>
              </w:rPr>
              <w:t>
—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Scotch whisky:</w:t>
            </w:r>
          </w:p>
          <w:p>
            <w:pPr>
              <w:spacing w:after="20"/>
              <w:ind w:left="20"/>
              <w:jc w:val="both"/>
            </w:pPr>
            <w:r>
              <w:rPr>
                <w:rFonts w:ascii="Times New Roman"/>
                <w:b w:val="false"/>
                <w:i w:val="false"/>
                <w:color w:val="000000"/>
                <w:sz w:val="20"/>
              </w:rPr>
              <w:t>
— — — other blended whisky, in receptacles with a capacity of:</w:t>
            </w:r>
          </w:p>
          <w:p>
            <w:pPr>
              <w:spacing w:after="20"/>
              <w:ind w:left="20"/>
              <w:jc w:val="both"/>
            </w:pPr>
            <w:r>
              <w:rPr>
                <w:rFonts w:ascii="Times New Roman"/>
                <w:b w:val="false"/>
                <w:i w:val="false"/>
                <w:color w:val="000000"/>
                <w:sz w:val="20"/>
              </w:rPr>
              <w:t>
—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others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whisky:</w:t>
            </w:r>
          </w:p>
          <w:p>
            <w:pPr>
              <w:spacing w:after="20"/>
              <w:ind w:left="20"/>
              <w:jc w:val="both"/>
            </w:pPr>
            <w:r>
              <w:rPr>
                <w:rFonts w:ascii="Times New Roman"/>
                <w:b w:val="false"/>
                <w:i w:val="false"/>
                <w:color w:val="000000"/>
                <w:sz w:val="20"/>
              </w:rPr>
              <w:t>
— — others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rum and other alcoholic beverages obtained by distilling fermented sugar cane products:</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rum containing volatile substances other than ethyl and methyl alcohols, 225 g or more per hectolitre of pure alcohol (with a permissible deviation of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rum and other alcoholic beverages obtained by distilling fermented sugar cane products:</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costing more than €7.9 per litre of pure alcohol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rum and other alcoholic beverages obtained by distilling fermented sugar cane products:</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rum and other alcoholic beverages obtained by distilling fermented sugar cane products:</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rum containing volatile substances other than ethyl and methyl alcohols, 225 g or more per hectolitre of pure alcohol (with a permissible deviation of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rum and other alcoholic beverages obtained by distilling fermented sugar cane products:</w:t>
            </w:r>
          </w:p>
          <w:p>
            <w:pPr>
              <w:spacing w:after="20"/>
              <w:ind w:left="20"/>
              <w:jc w:val="both"/>
            </w:pPr>
            <w:r>
              <w:rPr>
                <w:rFonts w:ascii="Times New Roman"/>
                <w:b w:val="false"/>
                <w:i w:val="false"/>
                <w:color w:val="000000"/>
                <w:sz w:val="20"/>
              </w:rPr>
              <w:t>
— — in receptacles with a capacity of more than 2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gin and juniper tincture:</w:t>
            </w:r>
          </w:p>
          <w:p>
            <w:pPr>
              <w:spacing w:after="20"/>
              <w:ind w:left="20"/>
              <w:jc w:val="both"/>
            </w:pPr>
            <w:r>
              <w:rPr>
                <w:rFonts w:ascii="Times New Roman"/>
                <w:b w:val="false"/>
                <w:i w:val="false"/>
                <w:color w:val="000000"/>
                <w:sz w:val="20"/>
              </w:rPr>
              <w:t>
— — gin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gin and juniper tincture:</w:t>
            </w:r>
          </w:p>
          <w:p>
            <w:pPr>
              <w:spacing w:after="20"/>
              <w:ind w:left="20"/>
              <w:jc w:val="both"/>
            </w:pPr>
            <w:r>
              <w:rPr>
                <w:rFonts w:ascii="Times New Roman"/>
                <w:b w:val="false"/>
                <w:i w:val="false"/>
                <w:color w:val="000000"/>
                <w:sz w:val="20"/>
              </w:rPr>
              <w:t>
— — gin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gin and juniper tincture:</w:t>
            </w:r>
          </w:p>
          <w:p>
            <w:pPr>
              <w:spacing w:after="20"/>
              <w:ind w:left="20"/>
              <w:jc w:val="both"/>
            </w:pPr>
            <w:r>
              <w:rPr>
                <w:rFonts w:ascii="Times New Roman"/>
                <w:b w:val="false"/>
                <w:i w:val="false"/>
                <w:color w:val="000000"/>
                <w:sz w:val="20"/>
              </w:rPr>
              <w:t>
— — juniper tincture,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gin and juniper tincture:</w:t>
            </w:r>
          </w:p>
          <w:p>
            <w:pPr>
              <w:spacing w:after="20"/>
              <w:ind w:left="20"/>
              <w:jc w:val="both"/>
            </w:pPr>
            <w:r>
              <w:rPr>
                <w:rFonts w:ascii="Times New Roman"/>
                <w:b w:val="false"/>
                <w:i w:val="false"/>
                <w:color w:val="000000"/>
                <w:sz w:val="20"/>
              </w:rPr>
              <w:t>
— — juniper tincture,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vodka:</w:t>
            </w:r>
          </w:p>
          <w:p>
            <w:pPr>
              <w:spacing w:after="20"/>
              <w:ind w:left="20"/>
              <w:jc w:val="both"/>
            </w:pPr>
            <w:r>
              <w:rPr>
                <w:rFonts w:ascii="Times New Roman"/>
                <w:b w:val="false"/>
                <w:i w:val="false"/>
                <w:color w:val="000000"/>
                <w:sz w:val="20"/>
              </w:rPr>
              <w:t>
— — with an alcohol concentration of 45.4  volume per cent or less,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vodka:</w:t>
            </w:r>
          </w:p>
          <w:p>
            <w:pPr>
              <w:spacing w:after="20"/>
              <w:ind w:left="20"/>
              <w:jc w:val="both"/>
            </w:pPr>
            <w:r>
              <w:rPr>
                <w:rFonts w:ascii="Times New Roman"/>
                <w:b w:val="false"/>
                <w:i w:val="false"/>
                <w:color w:val="000000"/>
                <w:sz w:val="20"/>
              </w:rPr>
              <w:t>
— — with an alcohol concentration of 45.4  volume per cent or less,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vodka:</w:t>
            </w:r>
          </w:p>
          <w:p>
            <w:pPr>
              <w:spacing w:after="20"/>
              <w:ind w:left="20"/>
              <w:jc w:val="both"/>
            </w:pPr>
            <w:r>
              <w:rPr>
                <w:rFonts w:ascii="Times New Roman"/>
                <w:b w:val="false"/>
                <w:i w:val="false"/>
                <w:color w:val="000000"/>
                <w:sz w:val="20"/>
              </w:rPr>
              <w:t>
— — with an alcohol concentration of more than 45.4  volume per cent,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vodka:</w:t>
            </w:r>
          </w:p>
          <w:p>
            <w:pPr>
              <w:spacing w:after="20"/>
              <w:ind w:left="20"/>
              <w:jc w:val="both"/>
            </w:pPr>
            <w:r>
              <w:rPr>
                <w:rFonts w:ascii="Times New Roman"/>
                <w:b w:val="false"/>
                <w:i w:val="false"/>
                <w:color w:val="000000"/>
                <w:sz w:val="20"/>
              </w:rPr>
              <w:t>
— — with an alcohol concentration of more than 45.4  volume per cent,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liquers:</w:t>
            </w:r>
          </w:p>
          <w:p>
            <w:pPr>
              <w:spacing w:after="20"/>
              <w:ind w:left="20"/>
              <w:jc w:val="both"/>
            </w:pPr>
            <w:r>
              <w:rPr>
                <w:rFonts w:ascii="Times New Roman"/>
                <w:b w:val="false"/>
                <w:i w:val="false"/>
                <w:color w:val="000000"/>
                <w:sz w:val="20"/>
              </w:rPr>
              <w:t>
— in receptacles of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liquers:</w:t>
            </w:r>
          </w:p>
          <w:p>
            <w:pPr>
              <w:spacing w:after="20"/>
              <w:ind w:left="20"/>
              <w:jc w:val="both"/>
            </w:pPr>
            <w:r>
              <w:rPr>
                <w:rFonts w:ascii="Times New Roman"/>
                <w:b w:val="false"/>
                <w:i w:val="false"/>
                <w:color w:val="000000"/>
                <w:sz w:val="20"/>
              </w:rPr>
              <w:t>
— — in receptacles with a capacity of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arrak,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arrak,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plum, pear, or cherry spirit tincture (excluding liqueurs),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plum, pear, or cherry spirit tincture (excluding liqueurs),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ouzo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alcoholic tinctures (excluding liquers):</w:t>
            </w:r>
          </w:p>
          <w:p>
            <w:pPr>
              <w:spacing w:after="20"/>
              <w:ind w:left="20"/>
              <w:jc w:val="both"/>
            </w:pPr>
            <w:r>
              <w:rPr>
                <w:rFonts w:ascii="Times New Roman"/>
                <w:b w:val="false"/>
                <w:i w:val="false"/>
                <w:color w:val="000000"/>
                <w:sz w:val="20"/>
              </w:rPr>
              <w:t>
— — — — — — those distilled from fruit:</w:t>
            </w:r>
          </w:p>
          <w:p>
            <w:pPr>
              <w:spacing w:after="20"/>
              <w:ind w:left="20"/>
              <w:jc w:val="both"/>
            </w:pPr>
            <w:r>
              <w:rPr>
                <w:rFonts w:ascii="Times New Roman"/>
                <w:b w:val="false"/>
                <w:i w:val="false"/>
                <w:color w:val="000000"/>
                <w:sz w:val="20"/>
              </w:rPr>
              <w:t>
— — — — — — — Calvados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xml:space="preserve">
— — other alcoholic tinctures and other alcoholic beverages, in receptacles with a capacity of: </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alcoholic tinctures (excluding liquers):</w:t>
            </w:r>
          </w:p>
          <w:p>
            <w:pPr>
              <w:spacing w:after="20"/>
              <w:ind w:left="20"/>
              <w:jc w:val="both"/>
            </w:pPr>
            <w:r>
              <w:rPr>
                <w:rFonts w:ascii="Times New Roman"/>
                <w:b w:val="false"/>
                <w:i w:val="false"/>
                <w:color w:val="000000"/>
                <w:sz w:val="20"/>
              </w:rPr>
              <w:t>
— — — — — — those distilled from fruit:</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alcoholic tinctures (excluding liquers):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tequila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alcoholic tinctures (excluding liquers):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mescal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alcoholic tinctures (excluding liquers):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shochu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alcoholic tinctures (excluding liquers):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alcohol beverages:</w:t>
            </w:r>
          </w:p>
          <w:p>
            <w:pPr>
              <w:spacing w:after="20"/>
              <w:ind w:left="20"/>
              <w:jc w:val="both"/>
            </w:pPr>
            <w:r>
              <w:rPr>
                <w:rFonts w:ascii="Times New Roman"/>
                <w:b w:val="false"/>
                <w:i w:val="false"/>
                <w:color w:val="000000"/>
                <w:sz w:val="20"/>
              </w:rPr>
              <w:t>
— — — — — — with an actual alcohol concentration of no more than 7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alcohol beverages: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alcoholic tinctures (excluding liquers):</w:t>
            </w:r>
          </w:p>
          <w:p>
            <w:pPr>
              <w:spacing w:after="20"/>
              <w:ind w:left="20"/>
              <w:jc w:val="both"/>
            </w:pPr>
            <w:r>
              <w:rPr>
                <w:rFonts w:ascii="Times New Roman"/>
                <w:b w:val="false"/>
                <w:i w:val="false"/>
                <w:color w:val="000000"/>
                <w:sz w:val="20"/>
              </w:rPr>
              <w:t>
— — — — — those distilled from fruit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alcoholic tinctures (excluding liquers):</w:t>
            </w:r>
          </w:p>
          <w:p>
            <w:pPr>
              <w:spacing w:after="20"/>
              <w:ind w:left="20"/>
              <w:jc w:val="both"/>
            </w:pPr>
            <w:r>
              <w:rPr>
                <w:rFonts w:ascii="Times New Roman"/>
                <w:b w:val="false"/>
                <w:i w:val="false"/>
                <w:color w:val="000000"/>
                <w:sz w:val="20"/>
              </w:rPr>
              <w:t>
— — — — — tequila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alcoholic tinctures (excluding liquers):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mescal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alcoholic tinctures (excluding liquers):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shochu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alcoholic tinctures (excluding liquers):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other alcohol beverages:</w:t>
            </w:r>
          </w:p>
          <w:p>
            <w:pPr>
              <w:spacing w:after="20"/>
              <w:ind w:left="20"/>
              <w:jc w:val="both"/>
            </w:pPr>
            <w:r>
              <w:rPr>
                <w:rFonts w:ascii="Times New Roman"/>
                <w:b w:val="false"/>
                <w:i w:val="false"/>
                <w:color w:val="000000"/>
                <w:sz w:val="20"/>
              </w:rPr>
              <w:t>
— — — — — with an actual alcohol concentration of no more than 7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 alcoholic tinctures and other alcoholic beverages,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other alcohol beverages:</w:t>
            </w:r>
          </w:p>
          <w:p>
            <w:pPr>
              <w:spacing w:after="20"/>
              <w:ind w:left="20"/>
              <w:jc w:val="both"/>
            </w:pPr>
            <w:r>
              <w:rPr>
                <w:rFonts w:ascii="Times New Roman"/>
                <w:b w:val="false"/>
                <w:i w:val="false"/>
                <w:color w:val="000000"/>
                <w:sz w:val="20"/>
              </w:rPr>
              <w:t>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undenatured ethyl alcohol with an alcohol concentration of less than 80% by volume, in receptacles with a capacity of:</w:t>
            </w:r>
          </w:p>
          <w:p>
            <w:pPr>
              <w:spacing w:after="20"/>
              <w:ind w:left="20"/>
              <w:jc w:val="both"/>
            </w:pPr>
            <w:r>
              <w:rPr>
                <w:rFonts w:ascii="Times New Roman"/>
                <w:b w:val="false"/>
                <w:i w:val="false"/>
                <w:color w:val="000000"/>
                <w:sz w:val="20"/>
              </w:rPr>
              <w:t>
— — — 2 litres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alcohol concentration less than 80 volume per cent; alcohol tinctures, liqueurs and other alcoholic beverages: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undenatured ethyl alcohol with an alcohol concentration of less than 80% by volume, in receptacles with a capacity of:</w:t>
            </w:r>
          </w:p>
          <w:p>
            <w:pPr>
              <w:spacing w:after="20"/>
              <w:ind w:left="20"/>
              <w:jc w:val="both"/>
            </w:pPr>
            <w:r>
              <w:rPr>
                <w:rFonts w:ascii="Times New Roman"/>
                <w:b w:val="false"/>
                <w:i w:val="false"/>
                <w:color w:val="000000"/>
                <w:sz w:val="20"/>
              </w:rPr>
              <w:t>
— — — more than 2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with Protected Designation of Origin, PDO:</w:t>
            </w:r>
          </w:p>
          <w:p>
            <w:pPr>
              <w:spacing w:after="20"/>
              <w:ind w:left="20"/>
              <w:jc w:val="both"/>
            </w:pPr>
            <w:r>
              <w:rPr>
                <w:rFonts w:ascii="Times New Roman"/>
                <w:b w:val="false"/>
                <w:i w:val="false"/>
                <w:color w:val="000000"/>
                <w:sz w:val="20"/>
              </w:rPr>
              <w:t>
— — — champagne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with Protected Designation of Origin, PDO:</w:t>
            </w:r>
          </w:p>
          <w:p>
            <w:pPr>
              <w:spacing w:after="20"/>
              <w:ind w:left="20"/>
              <w:jc w:val="both"/>
            </w:pPr>
            <w:r>
              <w:rPr>
                <w:rFonts w:ascii="Times New Roman"/>
                <w:b w:val="false"/>
                <w:i w:val="false"/>
                <w:color w:val="000000"/>
                <w:sz w:val="20"/>
              </w:rPr>
              <w:t>
— — — Asti spumante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with Protected Designation of Origin, PDO:</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with an actual alcohol concentration of not less than 8.5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with Protected Designation of Origin, PDO:</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with Protected Geographical Indication, PGI:</w:t>
            </w:r>
          </w:p>
          <w:p>
            <w:pPr>
              <w:spacing w:after="20"/>
              <w:ind w:left="20"/>
              <w:jc w:val="both"/>
            </w:pPr>
            <w:r>
              <w:rPr>
                <w:rFonts w:ascii="Times New Roman"/>
                <w:b w:val="false"/>
                <w:i w:val="false"/>
                <w:color w:val="000000"/>
                <w:sz w:val="20"/>
              </w:rPr>
              <w:t>
— — — with an actual alcohol concentration of not less than 8.5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with Protected Geographical Indication, PGI:</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other varietal wines:</w:t>
            </w:r>
          </w:p>
          <w:p>
            <w:pPr>
              <w:spacing w:after="20"/>
              <w:ind w:left="20"/>
              <w:jc w:val="both"/>
            </w:pPr>
            <w:r>
              <w:rPr>
                <w:rFonts w:ascii="Times New Roman"/>
                <w:b w:val="false"/>
                <w:i w:val="false"/>
                <w:color w:val="000000"/>
                <w:sz w:val="20"/>
              </w:rPr>
              <w:t>
— — — with an actual alcohol concentration of not less than 8.5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other varietal wines: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with an actual alcohol concentration of not less than 8.5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sparkling wines: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wine, other than that specified in subheading 2204 10, in bottles with mushroom-shaped stoppers held in place by ties or fastenings; wine in other containers with an excess pressure due to carbon dioxide in the beverage of not less than 1 bar but less than 3 bar at a temperature of 20 °C:</w:t>
            </w:r>
          </w:p>
          <w:p>
            <w:pPr>
              <w:spacing w:after="20"/>
              <w:ind w:left="20"/>
              <w:jc w:val="both"/>
            </w:pPr>
            <w:r>
              <w:rPr>
                <w:rFonts w:ascii="Times New Roman"/>
                <w:b w:val="false"/>
                <w:i w:val="false"/>
                <w:color w:val="000000"/>
                <w:sz w:val="20"/>
              </w:rPr>
              <w:t>
— — — — with Protected Designation of Origin, PDO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wine, other than that specified in subheading 2204 10, in bottles with mushroom-shaped stoppers held in place by ties or fastenings; wine in other containers with an excess pressure due to carbon dioxide in the beverage of not less than 1 bar but less than 3 bar at a temperature of 20 °C:</w:t>
            </w:r>
          </w:p>
          <w:p>
            <w:pPr>
              <w:spacing w:after="20"/>
              <w:ind w:left="20"/>
              <w:jc w:val="both"/>
            </w:pPr>
            <w:r>
              <w:rPr>
                <w:rFonts w:ascii="Times New Roman"/>
                <w:b w:val="false"/>
                <w:i w:val="false"/>
                <w:color w:val="000000"/>
                <w:sz w:val="20"/>
              </w:rPr>
              <w:t>
— — — — with Protected Geographical Indication, PGI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wine, other than that specified in subheading 2204 10, in bottles with mushroom-shaped stoppers held in place by ties or fastenings; wine in other containers with an excess pressure due to carbon dioxide in the beverage of not less than 1 bar but less than 3 bar at a temperature of 20 °C:</w:t>
            </w:r>
          </w:p>
          <w:p>
            <w:pPr>
              <w:spacing w:after="20"/>
              <w:ind w:left="20"/>
              <w:jc w:val="both"/>
            </w:pPr>
            <w:r>
              <w:rPr>
                <w:rFonts w:ascii="Times New Roman"/>
                <w:b w:val="false"/>
                <w:i w:val="false"/>
                <w:color w:val="000000"/>
                <w:sz w:val="20"/>
              </w:rPr>
              <w:t>
— — — — other varietal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wine, other than that specified in subheading 2204 10, in bottles with mushroom-shaped stoppers held in place by ties or fastenings; wine in other containers with an excess pressure due to carbon dioxide in the beverage of not less than 1 bar but less than 3 bar at a temperature of 20 °C:</w:t>
            </w:r>
          </w:p>
          <w:p>
            <w:pPr>
              <w:spacing w:after="20"/>
              <w:ind w:left="20"/>
              <w:jc w:val="both"/>
            </w:pPr>
            <w:r>
              <w:rPr>
                <w:rFonts w:ascii="Times New Roman"/>
                <w:b w:val="false"/>
                <w:i w:val="false"/>
                <w:color w:val="000000"/>
                <w:sz w:val="20"/>
              </w:rPr>
              <w:t>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Alsace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Burgundy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Val de Loire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Moselle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Pfalz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Rheinhessen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—Tokaji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Lazio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Tuscany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Trentino, Alto Adige and Friuli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Veneto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Vinho Verde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Penedès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Rioya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Valencia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Burgundy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Beaujolais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Valais-du-Rhône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Languedoc-Roussillon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 de Loire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Piedmont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Tuscany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Trentino and Alto Adige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Veneto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Dao, Berrada and Duro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Navarra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Penedès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Rioya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Valdepeñas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Madera and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sherry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marsala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Samos and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port wine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port wine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22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in receptacles of 2 litres or less: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wine, other than that specified in subheading 2204 10, in bottles with mushroom-shaped stoppers held in place by ties or fastenings; wine in other containers with an excess pressure due to carbon dioxide in the beverage of not less than 1 bar but less than 3 bar at a temperature of 20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Tokaji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Burgundy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Val de Loire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Bordeaux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Burgundy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Beaujolais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Valais-du-Rhône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Languedoc-Roussillon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 de Loire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Madera and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sherry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marsala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Samos and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port wine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22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white wines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in receptacles with a capacity of more than 2 litres, but not exceeding 10 litres: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wine, other than that specified in subheading 2204 10, in bottles with mushroom-shaped stoppers held in place by ties or fastenings; wine in other containers with an excess pressure due to carbon dioxide in the beverage of not less than 1 bar but less than 3 bar at a temperature of 20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Tokaji:</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Tokaji:</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Bordeaux:</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Bordeaux:</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Burgundy:</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Burgundy:</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Val de Loire:</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Val de Loire:</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p>
            <w:pPr>
              <w:spacing w:after="20"/>
              <w:ind w:left="20"/>
              <w:jc w:val="both"/>
            </w:pPr>
            <w:r>
              <w:rPr>
                <w:rFonts w:ascii="Times New Roman"/>
                <w:b w:val="false"/>
                <w:i w:val="false"/>
                <w:color w:val="000000"/>
                <w:sz w:val="20"/>
              </w:rPr>
              <w:t>
—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Bordeaux:</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Bordeaux:</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Burgundy:</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Burgundy:</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Beaujolais:</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Beaujolais:</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Valais-du-Rhône:</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Valais-du-Rhône:</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Languedoc-Roussillon:</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Languedoc-Roussillon:</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 de Loire:</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Val de Loire:</w:t>
            </w:r>
          </w:p>
          <w:p>
            <w:pPr>
              <w:spacing w:after="20"/>
              <w:ind w:left="20"/>
              <w:jc w:val="both"/>
            </w:pPr>
            <w:r>
              <w:rPr>
                <w:rFonts w:ascii="Times New Roman"/>
                <w:b w:val="false"/>
                <w:i w:val="false"/>
                <w:color w:val="000000"/>
                <w:sz w:val="20"/>
              </w:rPr>
              <w:t>
—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p>
            <w:pPr>
              <w:spacing w:after="20"/>
              <w:ind w:left="20"/>
              <w:jc w:val="both"/>
            </w:pPr>
            <w:r>
              <w:rPr>
                <w:rFonts w:ascii="Times New Roman"/>
                <w:b w:val="false"/>
                <w:i w:val="false"/>
                <w:color w:val="000000"/>
                <w:sz w:val="20"/>
              </w:rPr>
              <w:t>
—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Designation of Origin, PDO:</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p>
            <w:pPr>
              <w:spacing w:after="20"/>
              <w:ind w:left="20"/>
              <w:jc w:val="both"/>
            </w:pPr>
            <w:r>
              <w:rPr>
                <w:rFonts w:ascii="Times New Roman"/>
                <w:b w:val="false"/>
                <w:i w:val="false"/>
                <w:color w:val="000000"/>
                <w:sz w:val="20"/>
              </w:rPr>
              <w:t>
—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wines with Protected Geographical Indication, PGI:</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 varietal wines: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white wines: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no more than 15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Madera and Setubal muscatel:</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Madera and Setubal muscatel:</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sherry:</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sherry:</w:t>
            </w:r>
          </w:p>
          <w:p>
            <w:pPr>
              <w:spacing w:after="20"/>
              <w:ind w:left="20"/>
              <w:jc w:val="both"/>
            </w:pPr>
            <w:r>
              <w:rPr>
                <w:rFonts w:ascii="Times New Roman"/>
                <w:b w:val="false"/>
                <w:i w:val="false"/>
                <w:color w:val="000000"/>
                <w:sz w:val="20"/>
              </w:rPr>
              <w:t>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marsala:</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marsala:</w:t>
            </w:r>
          </w:p>
          <w:p>
            <w:pPr>
              <w:spacing w:after="20"/>
              <w:ind w:left="20"/>
              <w:jc w:val="both"/>
            </w:pPr>
            <w:r>
              <w:rPr>
                <w:rFonts w:ascii="Times New Roman"/>
                <w:b w:val="false"/>
                <w:i w:val="false"/>
                <w:color w:val="000000"/>
                <w:sz w:val="20"/>
              </w:rPr>
              <w:t>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Samos and Muscat de Lemnos: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Samos and Muscat de Lemnos: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port wine:</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port wine:</w:t>
            </w:r>
          </w:p>
          <w:p>
            <w:pPr>
              <w:spacing w:after="20"/>
              <w:ind w:left="20"/>
              <w:jc w:val="both"/>
            </w:pPr>
            <w:r>
              <w:rPr>
                <w:rFonts w:ascii="Times New Roman"/>
                <w:b w:val="false"/>
                <w:i w:val="false"/>
                <w:color w:val="000000"/>
                <w:sz w:val="20"/>
              </w:rPr>
              <w:t>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wines with Protected Designation of Origin, PDO or with Protected Geographical Indication, PGI:</w:t>
            </w:r>
          </w:p>
          <w:p>
            <w:pPr>
              <w:spacing w:after="20"/>
              <w:ind w:left="20"/>
              <w:jc w:val="both"/>
            </w:pPr>
            <w:r>
              <w:rPr>
                <w:rFonts w:ascii="Times New Roman"/>
                <w:b w:val="false"/>
                <w:i w:val="false"/>
                <w:color w:val="000000"/>
                <w:sz w:val="20"/>
              </w:rPr>
              <w:t>
— — — — — — — others:</w:t>
            </w:r>
          </w:p>
          <w:p>
            <w:pPr>
              <w:spacing w:after="20"/>
              <w:ind w:left="20"/>
              <w:jc w:val="both"/>
            </w:pPr>
            <w:r>
              <w:rPr>
                <w:rFonts w:ascii="Times New Roman"/>
                <w:b w:val="false"/>
                <w:i w:val="false"/>
                <w:color w:val="000000"/>
                <w:sz w:val="20"/>
              </w:rPr>
              <w:t>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15 volume per cent, but not more than 22 volume per cent:</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22 volume per cent:</w:t>
            </w:r>
          </w:p>
          <w:p>
            <w:pPr>
              <w:spacing w:after="20"/>
              <w:ind w:left="20"/>
              <w:jc w:val="both"/>
            </w:pPr>
            <w:r>
              <w:rPr>
                <w:rFonts w:ascii="Times New Roman"/>
                <w:b w:val="false"/>
                <w:i w:val="false"/>
                <w:color w:val="000000"/>
                <w:sz w:val="20"/>
              </w:rPr>
              <w:t>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produced in the European Union:</w:t>
            </w:r>
          </w:p>
          <w:p>
            <w:pPr>
              <w:spacing w:after="20"/>
              <w:ind w:left="20"/>
              <w:jc w:val="both"/>
            </w:pPr>
            <w:r>
              <w:rPr>
                <w:rFonts w:ascii="Times New Roman"/>
                <w:b w:val="false"/>
                <w:i w:val="false"/>
                <w:color w:val="000000"/>
                <w:sz w:val="20"/>
              </w:rPr>
              <w:t>
— — — — — with an actual alcohol concentration of more than 22 volume per cent:</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white wines: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white wines: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wines with Protected Designation of Origin, PDO or with Protected Geographical Indication, PGI:</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white wines: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white wines: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 varietal wines: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white wines: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white wines: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in containers with a capacity of 227 litres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wines; grape must whose fermentation has been prevented or suspended  by the addition of alcohol:</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grape must:</w:t>
            </w:r>
          </w:p>
          <w:p>
            <w:pPr>
              <w:spacing w:after="20"/>
              <w:ind w:left="20"/>
              <w:jc w:val="both"/>
            </w:pPr>
            <w:r>
              <w:rPr>
                <w:rFonts w:ascii="Times New Roman"/>
                <w:b w:val="false"/>
                <w:i w:val="false"/>
                <w:color w:val="000000"/>
                <w:sz w:val="20"/>
              </w:rPr>
              <w:t>
— — in the process of fermentation or with fermentation suspended by a method other than the addition of alcohol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grape must:</w:t>
            </w:r>
          </w:p>
          <w:p>
            <w:pPr>
              <w:spacing w:after="20"/>
              <w:ind w:left="20"/>
              <w:jc w:val="both"/>
            </w:pPr>
            <w:r>
              <w:rPr>
                <w:rFonts w:ascii="Times New Roman"/>
                <w:b w:val="false"/>
                <w:i w:val="false"/>
                <w:color w:val="000000"/>
                <w:sz w:val="20"/>
              </w:rPr>
              <w:t>
— — other:</w:t>
            </w:r>
          </w:p>
          <w:p>
            <w:pPr>
              <w:spacing w:after="20"/>
              <w:ind w:left="20"/>
              <w:jc w:val="both"/>
            </w:pPr>
            <w:r>
              <w:rPr>
                <w:rFonts w:ascii="Times New Roman"/>
                <w:b w:val="false"/>
                <w:i w:val="false"/>
                <w:color w:val="000000"/>
                <w:sz w:val="20"/>
              </w:rPr>
              <w:t>
— — — with a density of 1.33 g/cm3 or less at a temperature of 20 °C and with an actual alcohol concentration of not more than 1 volume per cent:</w:t>
            </w:r>
          </w:p>
          <w:p>
            <w:pPr>
              <w:spacing w:after="20"/>
              <w:ind w:left="20"/>
              <w:jc w:val="both"/>
            </w:pPr>
            <w:r>
              <w:rPr>
                <w:rFonts w:ascii="Times New Roman"/>
                <w:b w:val="false"/>
                <w:i w:val="false"/>
                <w:color w:val="000000"/>
                <w:sz w:val="20"/>
              </w:rPr>
              <w:t>
— — — — concentrated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grape must:</w:t>
            </w:r>
          </w:p>
          <w:p>
            <w:pPr>
              <w:spacing w:after="20"/>
              <w:ind w:left="20"/>
              <w:jc w:val="both"/>
            </w:pPr>
            <w:r>
              <w:rPr>
                <w:rFonts w:ascii="Times New Roman"/>
                <w:b w:val="false"/>
                <w:i w:val="false"/>
                <w:color w:val="000000"/>
                <w:sz w:val="20"/>
              </w:rPr>
              <w:t>
— — other:</w:t>
            </w:r>
          </w:p>
          <w:p>
            <w:pPr>
              <w:spacing w:after="20"/>
              <w:ind w:left="20"/>
              <w:jc w:val="both"/>
            </w:pPr>
            <w:r>
              <w:rPr>
                <w:rFonts w:ascii="Times New Roman"/>
                <w:b w:val="false"/>
                <w:i w:val="false"/>
                <w:color w:val="000000"/>
                <w:sz w:val="20"/>
              </w:rPr>
              <w:t>
— — — with a density of 1.33 g/cm3 or less at a temperature of 20 °C and with an actual alcohol concentration of not more than 1 volume per cent:</w:t>
            </w:r>
          </w:p>
          <w:p>
            <w:pPr>
              <w:spacing w:after="20"/>
              <w:ind w:left="20"/>
              <w:jc w:val="both"/>
            </w:pPr>
            <w:r>
              <w:rPr>
                <w:rFonts w:ascii="Times New Roman"/>
                <w:b w:val="false"/>
                <w:i w:val="false"/>
                <w:color w:val="000000"/>
                <w:sz w:val="20"/>
              </w:rPr>
              <w:t>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grape must:</w:t>
            </w:r>
          </w:p>
          <w:p>
            <w:pPr>
              <w:spacing w:after="20"/>
              <w:ind w:left="20"/>
              <w:jc w:val="both"/>
            </w:pPr>
            <w:r>
              <w:rPr>
                <w:rFonts w:ascii="Times New Roman"/>
                <w:b w:val="false"/>
                <w:i w:val="false"/>
                <w:color w:val="000000"/>
                <w:sz w:val="20"/>
              </w:rPr>
              <w:t>
— — other:</w:t>
            </w:r>
          </w:p>
          <w:p>
            <w:pPr>
              <w:spacing w:after="20"/>
              <w:ind w:left="20"/>
              <w:jc w:val="both"/>
            </w:pPr>
            <w:r>
              <w:rPr>
                <w:rFonts w:ascii="Times New Roman"/>
                <w:b w:val="false"/>
                <w:i w:val="false"/>
                <w:color w:val="000000"/>
                <w:sz w:val="20"/>
              </w:rPr>
              <w:t>
— — — other:</w:t>
            </w:r>
          </w:p>
          <w:p>
            <w:pPr>
              <w:spacing w:after="20"/>
              <w:ind w:left="20"/>
              <w:jc w:val="both"/>
            </w:pPr>
            <w:r>
              <w:rPr>
                <w:rFonts w:ascii="Times New Roman"/>
                <w:b w:val="false"/>
                <w:i w:val="false"/>
                <w:color w:val="000000"/>
                <w:sz w:val="20"/>
              </w:rPr>
              <w:t>
— — — — concentrated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grape wines, including fortified wines; grape must, other than that specified in heading 2009:</w:t>
            </w:r>
          </w:p>
          <w:p>
            <w:pPr>
              <w:spacing w:after="20"/>
              <w:ind w:left="20"/>
              <w:jc w:val="both"/>
            </w:pPr>
            <w:r>
              <w:rPr>
                <w:rFonts w:ascii="Times New Roman"/>
                <w:b w:val="false"/>
                <w:i w:val="false"/>
                <w:color w:val="000000"/>
                <w:sz w:val="20"/>
              </w:rPr>
              <w:t>
— other grape must:</w:t>
            </w:r>
          </w:p>
          <w:p>
            <w:pPr>
              <w:spacing w:after="20"/>
              <w:ind w:left="20"/>
              <w:jc w:val="both"/>
            </w:pPr>
            <w:r>
              <w:rPr>
                <w:rFonts w:ascii="Times New Roman"/>
                <w:b w:val="false"/>
                <w:i w:val="false"/>
                <w:color w:val="000000"/>
                <w:sz w:val="20"/>
              </w:rPr>
              <w:t>
— — other:</w:t>
            </w:r>
          </w:p>
          <w:p>
            <w:pPr>
              <w:spacing w:after="20"/>
              <w:ind w:left="20"/>
              <w:jc w:val="both"/>
            </w:pPr>
            <w:r>
              <w:rPr>
                <w:rFonts w:ascii="Times New Roman"/>
                <w:b w:val="false"/>
                <w:i w:val="false"/>
                <w:color w:val="000000"/>
                <w:sz w:val="20"/>
              </w:rPr>
              <w:t>
— — — other:</w:t>
            </w:r>
          </w:p>
          <w:p>
            <w:pPr>
              <w:spacing w:after="20"/>
              <w:ind w:left="20"/>
              <w:jc w:val="both"/>
            </w:pPr>
            <w:r>
              <w:rPr>
                <w:rFonts w:ascii="Times New Roman"/>
                <w:b w:val="false"/>
                <w:i w:val="false"/>
                <w:color w:val="000000"/>
                <w:sz w:val="20"/>
              </w:rPr>
              <w:t>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picket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sparkling ones:</w:t>
            </w:r>
          </w:p>
          <w:p>
            <w:pPr>
              <w:spacing w:after="20"/>
              <w:ind w:left="20"/>
              <w:jc w:val="both"/>
            </w:pPr>
            <w:r>
              <w:rPr>
                <w:rFonts w:ascii="Times New Roman"/>
                <w:b w:val="false"/>
                <w:i w:val="false"/>
                <w:color w:val="000000"/>
                <w:sz w:val="20"/>
              </w:rPr>
              <w:t>
— — — cider and pear cider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sparkling ones: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with an actual alcohol concentration of no more than 7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sparkling ones: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still ones,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cider and pear cider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still ones, in receptacles with a capacity of:</w:t>
            </w:r>
          </w:p>
          <w:p>
            <w:pPr>
              <w:spacing w:after="20"/>
              <w:ind w:left="20"/>
              <w:jc w:val="both"/>
            </w:pPr>
            <w:r>
              <w:rPr>
                <w:rFonts w:ascii="Times New Roman"/>
                <w:b w:val="false"/>
                <w:i w:val="false"/>
                <w:color w:val="000000"/>
                <w:sz w:val="20"/>
              </w:rPr>
              <w:t>
— — — 2 litres or less: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still ones,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cider and pear cider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still ones,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with an actual alcohol concentration of no more than 7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fermented beverages (e.g. cider, pear cider, honey drink, sake); mixtures of fermented beverages and mixtures of fermented beverages and non-alcoholic beverages not elsewhere named or included:</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still ones, in receptacles with a capacity of:</w:t>
            </w:r>
          </w:p>
          <w:p>
            <w:pPr>
              <w:spacing w:after="20"/>
              <w:ind w:left="20"/>
              <w:jc w:val="both"/>
            </w:pPr>
            <w:r>
              <w:rPr>
                <w:rFonts w:ascii="Times New Roman"/>
                <w:b w:val="false"/>
                <w:i w:val="false"/>
                <w:color w:val="000000"/>
                <w:sz w:val="20"/>
              </w:rPr>
              <w:t>
— — — more than 2 litres: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Vermouths and other natural grape wines with the addition of vegetable or aromatic substances:</w:t>
            </w:r>
          </w:p>
          <w:p>
            <w:pPr>
              <w:spacing w:after="20"/>
              <w:ind w:left="20"/>
              <w:jc w:val="both"/>
            </w:pPr>
            <w:r>
              <w:rPr>
                <w:rFonts w:ascii="Times New Roman"/>
                <w:b w:val="false"/>
                <w:i w:val="false"/>
                <w:color w:val="000000"/>
                <w:sz w:val="20"/>
              </w:rPr>
              <w:t>
in receptacles of 2 litres or less:</w:t>
            </w:r>
          </w:p>
          <w:p>
            <w:pPr>
              <w:spacing w:after="20"/>
              <w:ind w:left="20"/>
              <w:jc w:val="both"/>
            </w:pPr>
            <w:r>
              <w:rPr>
                <w:rFonts w:ascii="Times New Roman"/>
                <w:b w:val="false"/>
                <w:i w:val="false"/>
                <w:color w:val="000000"/>
                <w:sz w:val="20"/>
              </w:rPr>
              <w:t>
— — with an actual alcohol concentration of 18 volume per cent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Vermouths and other natural grape wines with the addition of vegetable or aromatic substances:</w:t>
            </w:r>
          </w:p>
          <w:p>
            <w:pPr>
              <w:spacing w:after="20"/>
              <w:ind w:left="20"/>
              <w:jc w:val="both"/>
            </w:pPr>
            <w:r>
              <w:rPr>
                <w:rFonts w:ascii="Times New Roman"/>
                <w:b w:val="false"/>
                <w:i w:val="false"/>
                <w:color w:val="000000"/>
                <w:sz w:val="20"/>
              </w:rPr>
              <w:t>
in receptacles of 2 litres or less:</w:t>
            </w:r>
          </w:p>
          <w:p>
            <w:pPr>
              <w:spacing w:after="20"/>
              <w:ind w:left="20"/>
              <w:jc w:val="both"/>
            </w:pPr>
            <w:r>
              <w:rPr>
                <w:rFonts w:ascii="Times New Roman"/>
                <w:b w:val="false"/>
                <w:i w:val="false"/>
                <w:color w:val="000000"/>
                <w:sz w:val="20"/>
              </w:rPr>
              <w:t>
— — with an actual alcohol concentration of more than 18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Vermouths and other natural grape wines with the addition of vegetable or aromatic substances: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with an actual alcohol concentration of 18 volume per cent or less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Vermouths and other natural grape wines with the addition of vegetable or aromatic substances: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with an actual alcohol concentration of more than 18 volume per 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 beer:</w:t>
            </w:r>
          </w:p>
          <w:p>
            <w:pPr>
              <w:spacing w:after="20"/>
              <w:ind w:left="20"/>
              <w:jc w:val="both"/>
            </w:pPr>
            <w:r>
              <w:rPr>
                <w:rFonts w:ascii="Times New Roman"/>
                <w:b w:val="false"/>
                <w:i w:val="false"/>
                <w:color w:val="000000"/>
                <w:sz w:val="20"/>
              </w:rPr>
              <w:t>
— in receptacles with a capacity of 10 litres or less:</w:t>
            </w:r>
          </w:p>
          <w:p>
            <w:pPr>
              <w:spacing w:after="20"/>
              <w:ind w:left="20"/>
              <w:jc w:val="both"/>
            </w:pPr>
            <w:r>
              <w:rPr>
                <w:rFonts w:ascii="Times New Roman"/>
                <w:b w:val="false"/>
                <w:i w:val="false"/>
                <w:color w:val="000000"/>
                <w:sz w:val="20"/>
              </w:rPr>
              <w:t>
— — in bottles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 beer:</w:t>
            </w:r>
          </w:p>
          <w:p>
            <w:pPr>
              <w:spacing w:after="20"/>
              <w:ind w:left="20"/>
              <w:jc w:val="both"/>
            </w:pPr>
            <w:r>
              <w:rPr>
                <w:rFonts w:ascii="Times New Roman"/>
                <w:b w:val="false"/>
                <w:i w:val="false"/>
                <w:color w:val="000000"/>
                <w:sz w:val="20"/>
              </w:rPr>
              <w:t>
— in receptacles with a capacity of 10 litres or less:</w:t>
            </w:r>
          </w:p>
          <w:p>
            <w:pPr>
              <w:spacing w:after="20"/>
              <w:ind w:left="20"/>
              <w:jc w:val="both"/>
            </w:pPr>
            <w:r>
              <w:rPr>
                <w:rFonts w:ascii="Times New Roman"/>
                <w:b w:val="false"/>
                <w:i w:val="false"/>
                <w:color w:val="000000"/>
                <w:sz w:val="20"/>
              </w:rPr>
              <w:t>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 beer:</w:t>
            </w:r>
          </w:p>
          <w:p>
            <w:pPr>
              <w:spacing w:after="20"/>
              <w:ind w:left="20"/>
              <w:jc w:val="both"/>
            </w:pPr>
            <w:r>
              <w:rPr>
                <w:rFonts w:ascii="Times New Roman"/>
                <w:b w:val="false"/>
                <w:i w:val="false"/>
                <w:color w:val="000000"/>
                <w:sz w:val="20"/>
              </w:rPr>
              <w:t>
— in receptacles with a capacity of more than 10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not more than 0.013 g/litre:</w:t>
            </w:r>
          </w:p>
          <w:p>
            <w:pPr>
              <w:spacing w:after="20"/>
              <w:ind w:left="20"/>
              <w:jc w:val="both"/>
            </w:pPr>
            <w:r>
              <w:rPr>
                <w:rFonts w:ascii="Times New Roman"/>
                <w:b w:val="false"/>
                <w:i w:val="false"/>
                <w:color w:val="000000"/>
                <w:sz w:val="20"/>
              </w:rPr>
              <w:t>
— — — — — — — — with octane rating less than 95 (according to the research method):</w:t>
            </w:r>
          </w:p>
          <w:p>
            <w:pPr>
              <w:spacing w:after="20"/>
              <w:ind w:left="20"/>
              <w:jc w:val="both"/>
            </w:pPr>
            <w:r>
              <w:rPr>
                <w:rFonts w:ascii="Times New Roman"/>
                <w:b w:val="false"/>
                <w:i w:val="false"/>
                <w:color w:val="000000"/>
                <w:sz w:val="20"/>
              </w:rPr>
              <w:t>
— — — — — — — — — motor petrol:</w:t>
            </w:r>
          </w:p>
          <w:p>
            <w:pPr>
              <w:spacing w:after="20"/>
              <w:ind w:left="20"/>
              <w:jc w:val="both"/>
            </w:pPr>
            <w:r>
              <w:rPr>
                <w:rFonts w:ascii="Times New Roman"/>
                <w:b w:val="false"/>
                <w:i w:val="false"/>
                <w:color w:val="000000"/>
                <w:sz w:val="20"/>
              </w:rPr>
              <w:t>
— — — — — — — — — — with an octane rating of less than 80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not more than 0.013 g/litre:</w:t>
            </w:r>
          </w:p>
          <w:p>
            <w:pPr>
              <w:spacing w:after="20"/>
              <w:ind w:left="20"/>
              <w:jc w:val="both"/>
            </w:pPr>
            <w:r>
              <w:rPr>
                <w:rFonts w:ascii="Times New Roman"/>
                <w:b w:val="false"/>
                <w:i w:val="false"/>
                <w:color w:val="000000"/>
                <w:sz w:val="20"/>
              </w:rPr>
              <w:t>
— — — — — — — — with octane rating less than 95 (according to the research method):</w:t>
            </w:r>
          </w:p>
          <w:p>
            <w:pPr>
              <w:spacing w:after="20"/>
              <w:ind w:left="20"/>
              <w:jc w:val="both"/>
            </w:pPr>
            <w:r>
              <w:rPr>
                <w:rFonts w:ascii="Times New Roman"/>
                <w:b w:val="false"/>
                <w:i w:val="false"/>
                <w:color w:val="000000"/>
                <w:sz w:val="20"/>
              </w:rPr>
              <w:t>
— — — — — — — — — motor petrol:</w:t>
            </w:r>
          </w:p>
          <w:p>
            <w:pPr>
              <w:spacing w:after="20"/>
              <w:ind w:left="20"/>
              <w:jc w:val="both"/>
            </w:pPr>
            <w:r>
              <w:rPr>
                <w:rFonts w:ascii="Times New Roman"/>
                <w:b w:val="false"/>
                <w:i w:val="false"/>
                <w:color w:val="000000"/>
                <w:sz w:val="20"/>
              </w:rPr>
              <w:t>
— — — — — — — — — — with an octane rating of 80 or more, but less than 92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not more than 0.013 g/litre:</w:t>
            </w:r>
          </w:p>
          <w:p>
            <w:pPr>
              <w:spacing w:after="20"/>
              <w:ind w:left="20"/>
              <w:jc w:val="both"/>
            </w:pPr>
            <w:r>
              <w:rPr>
                <w:rFonts w:ascii="Times New Roman"/>
                <w:b w:val="false"/>
                <w:i w:val="false"/>
                <w:color w:val="000000"/>
                <w:sz w:val="20"/>
              </w:rPr>
              <w:t>
— — — — — — — — with octane rating less than 95 (according to the research method):</w:t>
            </w:r>
          </w:p>
          <w:p>
            <w:pPr>
              <w:spacing w:after="20"/>
              <w:ind w:left="20"/>
              <w:jc w:val="both"/>
            </w:pPr>
            <w:r>
              <w:rPr>
                <w:rFonts w:ascii="Times New Roman"/>
                <w:b w:val="false"/>
                <w:i w:val="false"/>
                <w:color w:val="000000"/>
                <w:sz w:val="20"/>
              </w:rPr>
              <w:t>
— — — — — — — — — motor petrol:</w:t>
            </w:r>
          </w:p>
          <w:p>
            <w:pPr>
              <w:spacing w:after="20"/>
              <w:ind w:left="20"/>
              <w:jc w:val="both"/>
            </w:pPr>
            <w:r>
              <w:rPr>
                <w:rFonts w:ascii="Times New Roman"/>
                <w:b w:val="false"/>
                <w:i w:val="false"/>
                <w:color w:val="000000"/>
                <w:sz w:val="20"/>
              </w:rPr>
              <w:t>
— — — — — — — — — — with an octane rating of 92 or higher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not more than 0.013 g/litre:</w:t>
            </w:r>
          </w:p>
          <w:p>
            <w:pPr>
              <w:spacing w:after="20"/>
              <w:ind w:left="20"/>
              <w:jc w:val="both"/>
            </w:pPr>
            <w:r>
              <w:rPr>
                <w:rFonts w:ascii="Times New Roman"/>
                <w:b w:val="false"/>
                <w:i w:val="false"/>
                <w:color w:val="000000"/>
                <w:sz w:val="20"/>
              </w:rPr>
              <w:t>
— — — — — — — — with octane rating less than 95 (according to the research method):</w:t>
            </w:r>
          </w:p>
          <w:p>
            <w:pPr>
              <w:spacing w:after="20"/>
              <w:ind w:left="20"/>
              <w:jc w:val="both"/>
            </w:pPr>
            <w:r>
              <w:rPr>
                <w:rFonts w:ascii="Times New Roman"/>
                <w:b w:val="false"/>
                <w:i w:val="false"/>
                <w:color w:val="000000"/>
                <w:sz w:val="20"/>
              </w:rPr>
              <w:t>
— —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not more than 0.013 g/litre:</w:t>
            </w:r>
          </w:p>
          <w:p>
            <w:pPr>
              <w:spacing w:after="20"/>
              <w:ind w:left="20"/>
              <w:jc w:val="both"/>
            </w:pPr>
            <w:r>
              <w:rPr>
                <w:rFonts w:ascii="Times New Roman"/>
                <w:b w:val="false"/>
                <w:i w:val="false"/>
                <w:color w:val="000000"/>
                <w:sz w:val="20"/>
              </w:rPr>
              <w:t>
— — — — — — — — with an octane rating of 95 or more, but less than 98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not more than 0.013 g/litre:</w:t>
            </w:r>
          </w:p>
          <w:p>
            <w:pPr>
              <w:spacing w:after="20"/>
              <w:ind w:left="20"/>
              <w:jc w:val="both"/>
            </w:pPr>
            <w:r>
              <w:rPr>
                <w:rFonts w:ascii="Times New Roman"/>
                <w:b w:val="false"/>
                <w:i w:val="false"/>
                <w:color w:val="000000"/>
                <w:sz w:val="20"/>
              </w:rPr>
              <w:t>
— — — — — — — — with an octane rating of 98 or higher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more than 0.013 g/litre:</w:t>
            </w:r>
          </w:p>
          <w:p>
            <w:pPr>
              <w:spacing w:after="20"/>
              <w:ind w:left="20"/>
              <w:jc w:val="both"/>
            </w:pPr>
            <w:r>
              <w:rPr>
                <w:rFonts w:ascii="Times New Roman"/>
                <w:b w:val="false"/>
                <w:i w:val="false"/>
                <w:color w:val="000000"/>
                <w:sz w:val="20"/>
              </w:rPr>
              <w:t>
— — — — — — — — with an octane rating less than  98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others, with lead content:</w:t>
            </w:r>
          </w:p>
          <w:p>
            <w:pPr>
              <w:spacing w:after="20"/>
              <w:ind w:left="20"/>
              <w:jc w:val="both"/>
            </w:pPr>
            <w:r>
              <w:rPr>
                <w:rFonts w:ascii="Times New Roman"/>
                <w:b w:val="false"/>
                <w:i w:val="false"/>
                <w:color w:val="000000"/>
                <w:sz w:val="20"/>
              </w:rPr>
              <w:t>
— — — — — — — more than 0.013 g/litre:</w:t>
            </w:r>
          </w:p>
          <w:p>
            <w:pPr>
              <w:spacing w:after="20"/>
              <w:ind w:left="20"/>
              <w:jc w:val="both"/>
            </w:pPr>
            <w:r>
              <w:rPr>
                <w:rFonts w:ascii="Times New Roman"/>
                <w:b w:val="false"/>
                <w:i w:val="false"/>
                <w:color w:val="000000"/>
                <w:sz w:val="20"/>
              </w:rPr>
              <w:t>
— — — — — — — — with an octane rating of 98 or higher (according to the research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gas oils: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not exceeding 0.05 wt.%:</w:t>
            </w:r>
          </w:p>
          <w:p>
            <w:pPr>
              <w:spacing w:after="20"/>
              <w:ind w:left="20"/>
              <w:jc w:val="both"/>
            </w:pPr>
            <w:r>
              <w:rPr>
                <w:rFonts w:ascii="Times New Roman"/>
                <w:b w:val="false"/>
                <w:i w:val="false"/>
                <w:color w:val="000000"/>
                <w:sz w:val="20"/>
              </w:rPr>
              <w:t>
— — — — — — — diesel fuel:</w:t>
            </w:r>
          </w:p>
          <w:p>
            <w:pPr>
              <w:spacing w:after="20"/>
              <w:ind w:left="20"/>
              <w:jc w:val="both"/>
            </w:pPr>
            <w:r>
              <w:rPr>
                <w:rFonts w:ascii="Times New Roman"/>
                <w:b w:val="false"/>
                <w:i w:val="false"/>
                <w:color w:val="000000"/>
                <w:sz w:val="20"/>
              </w:rPr>
              <w:t>
— — — — — — — — summer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gas oils: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not exceeding 0.05 wt.%:</w:t>
            </w:r>
          </w:p>
          <w:p>
            <w:pPr>
              <w:spacing w:after="20"/>
              <w:ind w:left="20"/>
              <w:jc w:val="both"/>
            </w:pPr>
            <w:r>
              <w:rPr>
                <w:rFonts w:ascii="Times New Roman"/>
                <w:b w:val="false"/>
                <w:i w:val="false"/>
                <w:color w:val="000000"/>
                <w:sz w:val="20"/>
              </w:rPr>
              <w:t>
— — — — — — — diesel fuel:</w:t>
            </w:r>
          </w:p>
          <w:p>
            <w:pPr>
              <w:spacing w:after="20"/>
              <w:ind w:left="20"/>
              <w:jc w:val="both"/>
            </w:pPr>
            <w:r>
              <w:rPr>
                <w:rFonts w:ascii="Times New Roman"/>
                <w:b w:val="false"/>
                <w:i w:val="false"/>
                <w:color w:val="000000"/>
                <w:sz w:val="20"/>
              </w:rPr>
              <w:t>
— — — — — — — — winter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gas oils: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not exceeding 0.05 wt.%:</w:t>
            </w:r>
          </w:p>
          <w:p>
            <w:pPr>
              <w:spacing w:after="20"/>
              <w:ind w:left="20"/>
              <w:jc w:val="both"/>
            </w:pPr>
            <w:r>
              <w:rPr>
                <w:rFonts w:ascii="Times New Roman"/>
                <w:b w:val="false"/>
                <w:i w:val="false"/>
                <w:color w:val="000000"/>
                <w:sz w:val="20"/>
              </w:rPr>
              <w:t>
— — — — — — — diesel fuel:</w:t>
            </w:r>
          </w:p>
          <w:p>
            <w:pPr>
              <w:spacing w:after="20"/>
              <w:ind w:left="20"/>
              <w:jc w:val="both"/>
            </w:pPr>
            <w:r>
              <w:rPr>
                <w:rFonts w:ascii="Times New Roman"/>
                <w:b w:val="false"/>
                <w:i w:val="false"/>
                <w:color w:val="000000"/>
                <w:sz w:val="20"/>
              </w:rPr>
              <w:t>
— — — — — — — — arctic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gas oils: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not exceeding 0.05 wt.%:</w:t>
            </w:r>
          </w:p>
          <w:p>
            <w:pPr>
              <w:spacing w:after="20"/>
              <w:ind w:left="20"/>
              <w:jc w:val="both"/>
            </w:pPr>
            <w:r>
              <w:rPr>
                <w:rFonts w:ascii="Times New Roman"/>
                <w:b w:val="false"/>
                <w:i w:val="false"/>
                <w:color w:val="000000"/>
                <w:sz w:val="20"/>
              </w:rPr>
              <w:t>
— — — — — — — diesel fuel:</w:t>
            </w:r>
          </w:p>
          <w:p>
            <w:pPr>
              <w:spacing w:after="20"/>
              <w:ind w:left="20"/>
              <w:jc w:val="both"/>
            </w:pPr>
            <w:r>
              <w:rPr>
                <w:rFonts w:ascii="Times New Roman"/>
                <w:b w:val="false"/>
                <w:i w:val="false"/>
                <w:color w:val="000000"/>
                <w:sz w:val="20"/>
              </w:rPr>
              <w:t>
— — — — — — — — off-season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obtained from bituminous rocks, other than crude; products not elsewhere specified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gas oils: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not exceeding 0.05 wt.%:</w:t>
            </w:r>
          </w:p>
          <w:p>
            <w:pPr>
              <w:spacing w:after="20"/>
              <w:ind w:left="20"/>
              <w:jc w:val="both"/>
            </w:pPr>
            <w:r>
              <w:rPr>
                <w:rFonts w:ascii="Times New Roman"/>
                <w:b w:val="false"/>
                <w:i w:val="false"/>
                <w:color w:val="000000"/>
                <w:sz w:val="20"/>
              </w:rPr>
              <w:t>
— — — — — — — diesel fuel:</w:t>
            </w:r>
          </w:p>
          <w:p>
            <w:pPr>
              <w:spacing w:after="20"/>
              <w:ind w:left="20"/>
              <w:jc w:val="both"/>
            </w:pPr>
            <w:r>
              <w:rPr>
                <w:rFonts w:ascii="Times New Roman"/>
                <w:b w:val="false"/>
                <w:i w:val="false"/>
                <w:color w:val="000000"/>
                <w:sz w:val="20"/>
              </w:rPr>
              <w:t>
— — — — — — — —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an alcohol concentration of 80 volume per cent or more; ethyl alcohol and other alcohol tinctures, denatured, of any concentration:</w:t>
            </w:r>
          </w:p>
          <w:p>
            <w:pPr>
              <w:spacing w:after="20"/>
              <w:ind w:left="20"/>
              <w:jc w:val="both"/>
            </w:pPr>
            <w:r>
              <w:rPr>
                <w:rFonts w:ascii="Times New Roman"/>
                <w:b w:val="false"/>
                <w:i w:val="false"/>
                <w:color w:val="000000"/>
                <w:sz w:val="20"/>
              </w:rPr>
              <w:t>
— Undenatured ethyl alcohol with an alcohol concentration of 80 volume per cent or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combination refrigerator-freezers with separate exterior doors or drawers, or combinations thereof:</w:t>
            </w:r>
          </w:p>
          <w:p>
            <w:pPr>
              <w:spacing w:after="20"/>
              <w:ind w:left="20"/>
              <w:jc w:val="both"/>
            </w:pPr>
            <w:r>
              <w:rPr>
                <w:rFonts w:ascii="Times New Roman"/>
                <w:b w:val="false"/>
                <w:i w:val="false"/>
                <w:color w:val="000000"/>
                <w:sz w:val="20"/>
              </w:rPr>
              <w:t>
— — only with separate exterior doors:</w:t>
            </w:r>
          </w:p>
          <w:p>
            <w:pPr>
              <w:spacing w:after="20"/>
              <w:ind w:left="20"/>
              <w:jc w:val="both"/>
            </w:pPr>
            <w:r>
              <w:rPr>
                <w:rFonts w:ascii="Times New Roman"/>
                <w:b w:val="false"/>
                <w:i w:val="false"/>
                <w:color w:val="000000"/>
                <w:sz w:val="20"/>
              </w:rPr>
              <w:t>
— — — with a capacity of more than 340 litres:</w:t>
            </w:r>
          </w:p>
          <w:p>
            <w:pPr>
              <w:spacing w:after="20"/>
              <w:ind w:left="20"/>
              <w:jc w:val="both"/>
            </w:pPr>
            <w:r>
              <w:rPr>
                <w:rFonts w:ascii="Times New Roman"/>
                <w:b w:val="false"/>
                <w:i w:val="false"/>
                <w:color w:val="000000"/>
                <w:sz w:val="20"/>
              </w:rPr>
              <w:t>
— — — — household refrigerators and freezers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combination refrigerator-freezers with separate exterior doors or drawers, or combinations thereof:</w:t>
            </w:r>
          </w:p>
          <w:p>
            <w:pPr>
              <w:spacing w:after="20"/>
              <w:ind w:left="20"/>
              <w:jc w:val="both"/>
            </w:pPr>
            <w:r>
              <w:rPr>
                <w:rFonts w:ascii="Times New Roman"/>
                <w:b w:val="false"/>
                <w:i w:val="false"/>
                <w:color w:val="000000"/>
                <w:sz w:val="20"/>
              </w:rPr>
              <w:t>
— — only with separate exterior doors: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household refrigerators and freezers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household refrigerators:</w:t>
            </w:r>
          </w:p>
          <w:p>
            <w:pPr>
              <w:spacing w:after="20"/>
              <w:ind w:left="20"/>
              <w:jc w:val="both"/>
            </w:pPr>
            <w:r>
              <w:rPr>
                <w:rFonts w:ascii="Times New Roman"/>
                <w:b w:val="false"/>
                <w:i w:val="false"/>
                <w:color w:val="000000"/>
                <w:sz w:val="20"/>
              </w:rPr>
              <w:t>
— — compression ones:</w:t>
            </w:r>
          </w:p>
          <w:p>
            <w:pPr>
              <w:spacing w:after="20"/>
              <w:ind w:left="20"/>
              <w:jc w:val="both"/>
            </w:pPr>
            <w:r>
              <w:rPr>
                <w:rFonts w:ascii="Times New Roman"/>
                <w:b w:val="false"/>
                <w:i w:val="false"/>
                <w:color w:val="000000"/>
                <w:sz w:val="20"/>
              </w:rPr>
              <w:t>
— — — with a capacity of more than 340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household refrigerators:</w:t>
            </w:r>
          </w:p>
          <w:p>
            <w:pPr>
              <w:spacing w:after="20"/>
              <w:ind w:left="20"/>
              <w:jc w:val="both"/>
            </w:pPr>
            <w:r>
              <w:rPr>
                <w:rFonts w:ascii="Times New Roman"/>
                <w:b w:val="false"/>
                <w:i w:val="false"/>
                <w:color w:val="000000"/>
                <w:sz w:val="20"/>
              </w:rPr>
              <w:t>
— — compression ones: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table-shaped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household refrigerators:</w:t>
            </w:r>
          </w:p>
          <w:p>
            <w:pPr>
              <w:spacing w:after="20"/>
              <w:ind w:left="20"/>
              <w:jc w:val="both"/>
            </w:pPr>
            <w:r>
              <w:rPr>
                <w:rFonts w:ascii="Times New Roman"/>
                <w:b w:val="false"/>
                <w:i w:val="false"/>
                <w:color w:val="000000"/>
                <w:sz w:val="20"/>
              </w:rPr>
              <w:t>
— — compression ones: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built-in refrigerators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household refrigerators:</w:t>
            </w:r>
          </w:p>
          <w:p>
            <w:pPr>
              <w:spacing w:after="20"/>
              <w:ind w:left="20"/>
              <w:jc w:val="both"/>
            </w:pPr>
            <w:r>
              <w:rPr>
                <w:rFonts w:ascii="Times New Roman"/>
                <w:b w:val="false"/>
                <w:i w:val="false"/>
                <w:color w:val="000000"/>
                <w:sz w:val="20"/>
              </w:rPr>
              <w:t>
— — compression ones: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 with the capacity of:</w:t>
            </w:r>
          </w:p>
          <w:p>
            <w:pPr>
              <w:spacing w:after="20"/>
              <w:ind w:left="20"/>
              <w:jc w:val="both"/>
            </w:pPr>
            <w:r>
              <w:rPr>
                <w:rFonts w:ascii="Times New Roman"/>
                <w:b w:val="false"/>
                <w:i w:val="false"/>
                <w:color w:val="000000"/>
                <w:sz w:val="20"/>
              </w:rPr>
              <w:t>
— — — — — not more than 250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household refrigerators:</w:t>
            </w:r>
          </w:p>
          <w:p>
            <w:pPr>
              <w:spacing w:after="20"/>
              <w:ind w:left="20"/>
              <w:jc w:val="both"/>
            </w:pPr>
            <w:r>
              <w:rPr>
                <w:rFonts w:ascii="Times New Roman"/>
                <w:b w:val="false"/>
                <w:i w:val="false"/>
                <w:color w:val="000000"/>
                <w:sz w:val="20"/>
              </w:rPr>
              <w:t>
— — compression ones:</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others, with the capacity of:</w:t>
            </w:r>
          </w:p>
          <w:p>
            <w:pPr>
              <w:spacing w:after="20"/>
              <w:ind w:left="20"/>
              <w:jc w:val="both"/>
            </w:pPr>
            <w:r>
              <w:rPr>
                <w:rFonts w:ascii="Times New Roman"/>
                <w:b w:val="false"/>
                <w:i w:val="false"/>
                <w:color w:val="000000"/>
                <w:sz w:val="20"/>
              </w:rPr>
              <w:t>
— — — — — more than 250, but not more than 340  litres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chest-type freezers with a capacity not exceeding 800 litres:</w:t>
            </w:r>
          </w:p>
          <w:p>
            <w:pPr>
              <w:spacing w:after="20"/>
              <w:ind w:left="20"/>
              <w:jc w:val="both"/>
            </w:pPr>
            <w:r>
              <w:rPr>
                <w:rFonts w:ascii="Times New Roman"/>
                <w:b w:val="false"/>
                <w:i w:val="false"/>
                <w:color w:val="000000"/>
                <w:sz w:val="20"/>
              </w:rPr>
              <w:t>
— — with a capacity not exceeding 400 litres:</w:t>
            </w:r>
          </w:p>
          <w:p>
            <w:pPr>
              <w:spacing w:after="20"/>
              <w:ind w:left="20"/>
              <w:jc w:val="both"/>
            </w:pPr>
            <w:r>
              <w:rPr>
                <w:rFonts w:ascii="Times New Roman"/>
                <w:b w:val="false"/>
                <w:i w:val="false"/>
                <w:color w:val="000000"/>
                <w:sz w:val="20"/>
              </w:rPr>
              <w:t>
— — — household freezers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chest-type freezers with a capacity not exceeding 800 litres:</w:t>
            </w:r>
          </w:p>
          <w:p>
            <w:pPr>
              <w:spacing w:after="20"/>
              <w:ind w:left="20"/>
              <w:jc w:val="both"/>
            </w:pPr>
            <w:r>
              <w:rPr>
                <w:rFonts w:ascii="Times New Roman"/>
                <w:b w:val="false"/>
                <w:i w:val="false"/>
                <w:color w:val="000000"/>
                <w:sz w:val="20"/>
              </w:rPr>
              <w:t>
— — with a capactiy of more than 400 litres, but not exceeding 800 litres:</w:t>
            </w:r>
          </w:p>
          <w:p>
            <w:pPr>
              <w:spacing w:after="20"/>
              <w:ind w:left="20"/>
              <w:jc w:val="both"/>
            </w:pPr>
            <w:r>
              <w:rPr>
                <w:rFonts w:ascii="Times New Roman"/>
                <w:b w:val="false"/>
                <w:i w:val="false"/>
                <w:color w:val="000000"/>
                <w:sz w:val="20"/>
              </w:rPr>
              <w:t>
— — — household freezers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upright freezers with a capacity of not more than 900 litres:</w:t>
            </w:r>
          </w:p>
          <w:p>
            <w:pPr>
              <w:spacing w:after="20"/>
              <w:ind w:left="20"/>
              <w:jc w:val="both"/>
            </w:pPr>
            <w:r>
              <w:rPr>
                <w:rFonts w:ascii="Times New Roman"/>
                <w:b w:val="false"/>
                <w:i w:val="false"/>
                <w:color w:val="000000"/>
                <w:sz w:val="20"/>
              </w:rPr>
              <w:t>
— — with a capacity of not more than 250 litres:</w:t>
            </w:r>
          </w:p>
          <w:p>
            <w:pPr>
              <w:spacing w:after="20"/>
              <w:ind w:left="20"/>
              <w:jc w:val="both"/>
            </w:pPr>
            <w:r>
              <w:rPr>
                <w:rFonts w:ascii="Times New Roman"/>
                <w:b w:val="false"/>
                <w:i w:val="false"/>
                <w:color w:val="000000"/>
                <w:sz w:val="20"/>
              </w:rPr>
              <w:t>
— — — household freezers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Refrigerators, freezers and other refrigerating or freezing equipment, electric or other types; heat pumps, other than air-conditioning units of commodity item 8415:</w:t>
            </w:r>
          </w:p>
          <w:p>
            <w:pPr>
              <w:spacing w:after="20"/>
              <w:ind w:left="20"/>
              <w:jc w:val="both"/>
            </w:pPr>
            <w:r>
              <w:rPr>
                <w:rFonts w:ascii="Times New Roman"/>
                <w:b w:val="false"/>
                <w:i w:val="false"/>
                <w:color w:val="000000"/>
                <w:sz w:val="20"/>
              </w:rPr>
              <w:t>
— upright freezers with a capacity of not more than 900 litres:</w:t>
            </w:r>
          </w:p>
          <w:p>
            <w:pPr>
              <w:spacing w:after="20"/>
              <w:ind w:left="20"/>
              <w:jc w:val="both"/>
            </w:pPr>
            <w:r>
              <w:rPr>
                <w:rFonts w:ascii="Times New Roman"/>
                <w:b w:val="false"/>
                <w:i w:val="false"/>
                <w:color w:val="000000"/>
                <w:sz w:val="20"/>
              </w:rPr>
              <w:t>
— — with a capacity of more than 250 litres but not more than 900 litres:</w:t>
            </w:r>
          </w:p>
          <w:p>
            <w:pPr>
              <w:spacing w:after="20"/>
              <w:ind w:left="20"/>
              <w:jc w:val="both"/>
            </w:pPr>
            <w:r>
              <w:rPr>
                <w:rFonts w:ascii="Times New Roman"/>
                <w:b w:val="false"/>
                <w:i w:val="false"/>
                <w:color w:val="000000"/>
                <w:sz w:val="20"/>
              </w:rPr>
              <w:t>
— — — household freezers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special petrols:</w:t>
            </w:r>
          </w:p>
          <w:p>
            <w:pPr>
              <w:spacing w:after="20"/>
              <w:ind w:left="20"/>
              <w:jc w:val="both"/>
            </w:pPr>
            <w:r>
              <w:rPr>
                <w:rFonts w:ascii="Times New Roman"/>
                <w:b w:val="false"/>
                <w:i w:val="false"/>
                <w:color w:val="000000"/>
                <w:sz w:val="20"/>
              </w:rPr>
              <w:t>
— — — — — others:</w:t>
            </w:r>
          </w:p>
          <w:p>
            <w:pPr>
              <w:spacing w:after="20"/>
              <w:ind w:left="20"/>
              <w:jc w:val="both"/>
            </w:pPr>
            <w:r>
              <w:rPr>
                <w:rFonts w:ascii="Times New Roman"/>
                <w:b w:val="false"/>
                <w:i w:val="false"/>
                <w:color w:val="000000"/>
                <w:sz w:val="20"/>
              </w:rPr>
              <w:t>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motor petrols:</w:t>
            </w:r>
          </w:p>
          <w:p>
            <w:pPr>
              <w:spacing w:after="20"/>
              <w:ind w:left="20"/>
              <w:jc w:val="both"/>
            </w:pPr>
            <w:r>
              <w:rPr>
                <w:rFonts w:ascii="Times New Roman"/>
                <w:b w:val="false"/>
                <w:i w:val="false"/>
                <w:color w:val="000000"/>
                <w:sz w:val="20"/>
              </w:rPr>
              <w:t>
— — — — — — aviation petrols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petrol fuel for jet engines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light distillates and products: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p>
            <w:pPr>
              <w:spacing w:after="20"/>
              <w:ind w:left="20"/>
              <w:jc w:val="both"/>
            </w:pPr>
            <w:r>
              <w:rPr>
                <w:rFonts w:ascii="Times New Roman"/>
                <w:b w:val="false"/>
                <w:i w:val="false"/>
                <w:color w:val="000000"/>
                <w:sz w:val="20"/>
              </w:rPr>
              <w:t>
— — — — — light distillates other:</w:t>
            </w:r>
          </w:p>
          <w:p>
            <w:pPr>
              <w:spacing w:after="20"/>
              <w:ind w:left="20"/>
              <w:jc w:val="both"/>
            </w:pPr>
            <w:r>
              <w:rPr>
                <w:rFonts w:ascii="Times New Roman"/>
                <w:b w:val="false"/>
                <w:i w:val="false"/>
                <w:color w:val="000000"/>
                <w:sz w:val="20"/>
              </w:rPr>
              <w:t>
— — — — — — others:</w:t>
            </w:r>
          </w:p>
          <w:p>
            <w:pPr>
              <w:spacing w:after="20"/>
              <w:ind w:left="20"/>
              <w:jc w:val="both"/>
            </w:pPr>
            <w:r>
              <w:rPr>
                <w:rFonts w:ascii="Times New Roman"/>
                <w:b w:val="false"/>
                <w:i w:val="false"/>
                <w:color w:val="000000"/>
                <w:sz w:val="20"/>
              </w:rPr>
              <w:t>
— —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middle distillates:</w:t>
            </w:r>
          </w:p>
          <w:p>
            <w:pPr>
              <w:spacing w:after="20"/>
              <w:ind w:left="20"/>
              <w:jc w:val="both"/>
            </w:pPr>
            <w:r>
              <w:rPr>
                <w:rFonts w:ascii="Times New Roman"/>
                <w:b w:val="false"/>
                <w:i w:val="false"/>
                <w:color w:val="000000"/>
                <w:sz w:val="20"/>
              </w:rPr>
              <w:t>
— — — — for other purposes:</w:t>
            </w:r>
          </w:p>
          <w:p>
            <w:pPr>
              <w:spacing w:after="20"/>
              <w:ind w:left="20"/>
              <w:jc w:val="both"/>
            </w:pPr>
            <w:r>
              <w:rPr>
                <w:rFonts w:ascii="Times New Roman"/>
                <w:b w:val="false"/>
                <w:i w:val="false"/>
                <w:color w:val="000000"/>
                <w:sz w:val="20"/>
              </w:rPr>
              <w:t>
— — — — — kerosene:</w:t>
            </w:r>
          </w:p>
          <w:p>
            <w:pPr>
              <w:spacing w:after="20"/>
              <w:ind w:left="20"/>
              <w:jc w:val="both"/>
            </w:pPr>
            <w:r>
              <w:rPr>
                <w:rFonts w:ascii="Times New Roman"/>
                <w:b w:val="false"/>
                <w:i w:val="false"/>
                <w:color w:val="000000"/>
                <w:sz w:val="20"/>
              </w:rPr>
              <w:t>
— — — — — — jet fuel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liquid fuels:</w:t>
            </w:r>
          </w:p>
          <w:p>
            <w:pPr>
              <w:spacing w:after="20"/>
              <w:ind w:left="20"/>
              <w:jc w:val="both"/>
            </w:pPr>
            <w:r>
              <w:rPr>
                <w:rFonts w:ascii="Times New Roman"/>
                <w:b w:val="false"/>
                <w:i w:val="false"/>
                <w:color w:val="000000"/>
                <w:sz w:val="20"/>
              </w:rPr>
              <w:t>
— — — — — for specific refining processes:</w:t>
            </w:r>
          </w:p>
          <w:p>
            <w:pPr>
              <w:spacing w:after="20"/>
              <w:ind w:left="20"/>
              <w:jc w:val="both"/>
            </w:pPr>
            <w:r>
              <w:rPr>
                <w:rFonts w:ascii="Times New Roman"/>
                <w:b w:val="false"/>
                <w:i w:val="false"/>
                <w:color w:val="000000"/>
                <w:sz w:val="20"/>
              </w:rPr>
              <w:t>
— —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liquid fuels:</w:t>
            </w:r>
          </w:p>
          <w:p>
            <w:pPr>
              <w:spacing w:after="20"/>
              <w:ind w:left="20"/>
              <w:jc w:val="both"/>
            </w:pPr>
            <w:r>
              <w:rPr>
                <w:rFonts w:ascii="Times New Roman"/>
                <w:b w:val="false"/>
                <w:i w:val="false"/>
                <w:color w:val="000000"/>
                <w:sz w:val="20"/>
              </w:rPr>
              <w:t>
— — — — — for chemical transformations in processes other than those specified in sub-subitem 2710 19 510:</w:t>
            </w:r>
          </w:p>
          <w:p>
            <w:pPr>
              <w:spacing w:after="20"/>
              <w:ind w:left="20"/>
              <w:jc w:val="both"/>
            </w:pPr>
            <w:r>
              <w:rPr>
                <w:rFonts w:ascii="Times New Roman"/>
                <w:b w:val="false"/>
                <w:i w:val="false"/>
                <w:color w:val="000000"/>
                <w:sz w:val="20"/>
              </w:rPr>
              <w:t>
— —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liquid fuels: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not exceeding 1 wt.%:</w:t>
            </w:r>
          </w:p>
          <w:p>
            <w:pPr>
              <w:spacing w:after="20"/>
              <w:ind w:left="20"/>
              <w:jc w:val="both"/>
            </w:pPr>
            <w:r>
              <w:rPr>
                <w:rFonts w:ascii="Times New Roman"/>
                <w:b w:val="false"/>
                <w:i w:val="false"/>
                <w:color w:val="000000"/>
                <w:sz w:val="20"/>
              </w:rPr>
              <w:t>
— — —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liquid fuels: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with sulphur content of more than 1 wt.%, but not more than 2 wt.%:</w:t>
            </w:r>
          </w:p>
          <w:p>
            <w:pPr>
              <w:spacing w:after="20"/>
              <w:ind w:left="20"/>
              <w:jc w:val="both"/>
            </w:pPr>
            <w:r>
              <w:rPr>
                <w:rFonts w:ascii="Times New Roman"/>
                <w:b w:val="false"/>
                <w:i w:val="false"/>
                <w:color w:val="000000"/>
                <w:sz w:val="20"/>
              </w:rPr>
              <w:t>
— — —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liquid fuels: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of more than 2 wt.%, but not more than 2,8 wt.%:</w:t>
            </w:r>
          </w:p>
          <w:p>
            <w:pPr>
              <w:spacing w:after="20"/>
              <w:ind w:left="20"/>
              <w:jc w:val="both"/>
            </w:pPr>
            <w:r>
              <w:rPr>
                <w:rFonts w:ascii="Times New Roman"/>
                <w:b w:val="false"/>
                <w:i w:val="false"/>
                <w:color w:val="000000"/>
                <w:sz w:val="20"/>
              </w:rPr>
              <w:t>
— — —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the products, with the exception of those containing biodiesel and waste petroleum products: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heavy distillates:</w:t>
            </w:r>
          </w:p>
          <w:p>
            <w:pPr>
              <w:spacing w:after="20"/>
              <w:ind w:left="20"/>
              <w:jc w:val="both"/>
            </w:pPr>
            <w:r>
              <w:rPr>
                <w:rFonts w:ascii="Times New Roman"/>
                <w:b w:val="false"/>
                <w:i w:val="false"/>
                <w:color w:val="000000"/>
                <w:sz w:val="20"/>
              </w:rPr>
              <w:t>
— — — — liquid fuels:</w:t>
            </w:r>
          </w:p>
          <w:p>
            <w:pPr>
              <w:spacing w:after="20"/>
              <w:ind w:left="20"/>
              <w:jc w:val="both"/>
            </w:pPr>
            <w:r>
              <w:rPr>
                <w:rFonts w:ascii="Times New Roman"/>
                <w:b w:val="false"/>
                <w:i w:val="false"/>
                <w:color w:val="000000"/>
                <w:sz w:val="20"/>
              </w:rPr>
              <w:t>
— — — — — for other purposes:</w:t>
            </w:r>
          </w:p>
          <w:p>
            <w:pPr>
              <w:spacing w:after="20"/>
              <w:ind w:left="20"/>
              <w:jc w:val="both"/>
            </w:pPr>
            <w:r>
              <w:rPr>
                <w:rFonts w:ascii="Times New Roman"/>
                <w:b w:val="false"/>
                <w:i w:val="false"/>
                <w:color w:val="000000"/>
                <w:sz w:val="20"/>
              </w:rPr>
              <w:t>
— — — — — — with sulphur content of more than 2,8 wt.%:</w:t>
            </w:r>
          </w:p>
          <w:p>
            <w:pPr>
              <w:spacing w:after="20"/>
              <w:ind w:left="20"/>
              <w:jc w:val="both"/>
            </w:pPr>
            <w:r>
              <w:rPr>
                <w:rFonts w:ascii="Times New Roman"/>
                <w:b w:val="false"/>
                <w:i w:val="false"/>
                <w:color w:val="000000"/>
                <w:sz w:val="20"/>
              </w:rPr>
              <w:t>
— — —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products containing biodiesel, with the exception of waste petroleum products:</w:t>
            </w:r>
          </w:p>
          <w:p>
            <w:pPr>
              <w:spacing w:after="20"/>
              <w:ind w:left="20"/>
              <w:jc w:val="both"/>
            </w:pPr>
            <w:r>
              <w:rPr>
                <w:rFonts w:ascii="Times New Roman"/>
                <w:b w:val="false"/>
                <w:i w:val="false"/>
                <w:color w:val="000000"/>
                <w:sz w:val="20"/>
              </w:rPr>
              <w:t>
— — liquid fuels:</w:t>
            </w:r>
          </w:p>
          <w:p>
            <w:pPr>
              <w:spacing w:after="20"/>
              <w:ind w:left="20"/>
              <w:jc w:val="both"/>
            </w:pPr>
            <w:r>
              <w:rPr>
                <w:rFonts w:ascii="Times New Roman"/>
                <w:b w:val="false"/>
                <w:i w:val="false"/>
                <w:color w:val="000000"/>
                <w:sz w:val="20"/>
              </w:rPr>
              <w:t>
— — — with sulphur content not exceeding 1 wt.%:</w:t>
            </w:r>
          </w:p>
          <w:p>
            <w:pPr>
              <w:spacing w:after="20"/>
              <w:ind w:left="20"/>
              <w:jc w:val="both"/>
            </w:pPr>
            <w:r>
              <w:rPr>
                <w:rFonts w:ascii="Times New Roman"/>
                <w:b w:val="false"/>
                <w:i w:val="false"/>
                <w:color w:val="000000"/>
                <w:sz w:val="20"/>
              </w:rPr>
              <w:t>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products containing biodiesel, with the exception of waste petroleum products:</w:t>
            </w:r>
          </w:p>
          <w:p>
            <w:pPr>
              <w:spacing w:after="20"/>
              <w:ind w:left="20"/>
              <w:jc w:val="both"/>
            </w:pPr>
            <w:r>
              <w:rPr>
                <w:rFonts w:ascii="Times New Roman"/>
                <w:b w:val="false"/>
                <w:i w:val="false"/>
                <w:color w:val="000000"/>
                <w:sz w:val="20"/>
              </w:rPr>
              <w:t>
— — liquid fuels:</w:t>
            </w:r>
          </w:p>
          <w:p>
            <w:pPr>
              <w:spacing w:after="20"/>
              <w:ind w:left="20"/>
              <w:jc w:val="both"/>
            </w:pPr>
            <w:r>
              <w:rPr>
                <w:rFonts w:ascii="Times New Roman"/>
                <w:b w:val="false"/>
                <w:i w:val="false"/>
                <w:color w:val="000000"/>
                <w:sz w:val="20"/>
              </w:rPr>
              <w:t>
— — — with sulphur content of more than 1 wt. %, but not more than 2 wt. %:</w:t>
            </w:r>
          </w:p>
          <w:p>
            <w:pPr>
              <w:spacing w:after="20"/>
              <w:ind w:left="20"/>
              <w:jc w:val="both"/>
            </w:pPr>
            <w:r>
              <w:rPr>
                <w:rFonts w:ascii="Times New Roman"/>
                <w:b w:val="false"/>
                <w:i w:val="false"/>
                <w:color w:val="000000"/>
                <w:sz w:val="20"/>
              </w:rPr>
              <w:t>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products containing biodiesel, with the exception of waste petroleum products:</w:t>
            </w:r>
          </w:p>
          <w:p>
            <w:pPr>
              <w:spacing w:after="20"/>
              <w:ind w:left="20"/>
              <w:jc w:val="both"/>
            </w:pPr>
            <w:r>
              <w:rPr>
                <w:rFonts w:ascii="Times New Roman"/>
                <w:b w:val="false"/>
                <w:i w:val="false"/>
                <w:color w:val="000000"/>
                <w:sz w:val="20"/>
              </w:rPr>
              <w:t>
— — liquid fuels:</w:t>
            </w:r>
          </w:p>
          <w:p>
            <w:pPr>
              <w:spacing w:after="20"/>
              <w:ind w:left="20"/>
              <w:jc w:val="both"/>
            </w:pPr>
            <w:r>
              <w:rPr>
                <w:rFonts w:ascii="Times New Roman"/>
                <w:b w:val="false"/>
                <w:i w:val="false"/>
                <w:color w:val="000000"/>
                <w:sz w:val="20"/>
              </w:rPr>
              <w:t>
— — — with sulphur content of more than 2 wt%, but not more than 2.8 wt%:</w:t>
            </w:r>
          </w:p>
          <w:p>
            <w:pPr>
              <w:spacing w:after="20"/>
              <w:ind w:left="20"/>
              <w:jc w:val="both"/>
            </w:pPr>
            <w:r>
              <w:rPr>
                <w:rFonts w:ascii="Times New Roman"/>
                <w:b w:val="false"/>
                <w:i w:val="false"/>
                <w:color w:val="000000"/>
                <w:sz w:val="20"/>
              </w:rPr>
              <w:t>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petroleum products derived from bituminous rocks, excluding crude oil; products, not elsewhere named or included, containing 70 wt% or more of oil or petroleum products, derived from bituminous rocks, and these petroleum products are the main components of products; waste petroleum products:</w:t>
            </w:r>
          </w:p>
          <w:p>
            <w:pPr>
              <w:spacing w:after="20"/>
              <w:ind w:left="20"/>
              <w:jc w:val="both"/>
            </w:pPr>
            <w:r>
              <w:rPr>
                <w:rFonts w:ascii="Times New Roman"/>
                <w:b w:val="false"/>
                <w:i w:val="false"/>
                <w:color w:val="000000"/>
                <w:sz w:val="20"/>
              </w:rPr>
              <w:t>
— oil and petroleum products (other than crude oil) derived from bituminous rocks, and products, not elsewhere named or included, containing 70 wt% or more of oil or petroleum products , derived from bituminous rocks, and these petroleum products are the main components of products containing biodiesel, with the exception of waste petroleum products:</w:t>
            </w:r>
          </w:p>
          <w:p>
            <w:pPr>
              <w:spacing w:after="20"/>
              <w:ind w:left="20"/>
              <w:jc w:val="both"/>
            </w:pPr>
            <w:r>
              <w:rPr>
                <w:rFonts w:ascii="Times New Roman"/>
                <w:b w:val="false"/>
                <w:i w:val="false"/>
                <w:color w:val="000000"/>
                <w:sz w:val="20"/>
              </w:rPr>
              <w:t>
— — liquid fuels:</w:t>
            </w:r>
          </w:p>
          <w:p>
            <w:pPr>
              <w:spacing w:after="20"/>
              <w:ind w:left="20"/>
              <w:jc w:val="both"/>
            </w:pPr>
            <w:r>
              <w:rPr>
                <w:rFonts w:ascii="Times New Roman"/>
                <w:b w:val="false"/>
                <w:i w:val="false"/>
                <w:color w:val="000000"/>
                <w:sz w:val="20"/>
              </w:rPr>
              <w:t>
— — — with sulphur content of more than 2.8 wt%:</w:t>
            </w:r>
          </w:p>
          <w:p>
            <w:pPr>
              <w:spacing w:after="20"/>
              <w:ind w:left="20"/>
              <w:jc w:val="both"/>
            </w:pPr>
            <w:r>
              <w:rPr>
                <w:rFonts w:ascii="Times New Roman"/>
                <w:b w:val="false"/>
                <w:i w:val="false"/>
                <w:color w:val="000000"/>
                <w:sz w:val="20"/>
              </w:rPr>
              <w:t>
— — — — fuel oils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coke, petroleum bitumen and other residues from the refining of oil or petroleum products derived from bituminous rocks:</w:t>
            </w:r>
          </w:p>
          <w:p>
            <w:pPr>
              <w:spacing w:after="20"/>
              <w:ind w:left="20"/>
              <w:jc w:val="both"/>
            </w:pPr>
            <w:r>
              <w:rPr>
                <w:rFonts w:ascii="Times New Roman"/>
                <w:b w:val="false"/>
                <w:i w:val="false"/>
                <w:color w:val="000000"/>
                <w:sz w:val="20"/>
              </w:rPr>
              <w:t>
— petroleum bitumen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alcohols and their halogenated, sulphated, nitrated or nitrosated derivatives:</w:t>
            </w:r>
          </w:p>
          <w:p>
            <w:pPr>
              <w:spacing w:after="20"/>
              <w:ind w:left="20"/>
              <w:jc w:val="both"/>
            </w:pPr>
            <w:r>
              <w:rPr>
                <w:rFonts w:ascii="Times New Roman"/>
                <w:b w:val="false"/>
                <w:i w:val="false"/>
                <w:color w:val="000000"/>
                <w:sz w:val="20"/>
              </w:rPr>
              <w:t>
— aromatic:</w:t>
            </w:r>
          </w:p>
          <w:p>
            <w:pPr>
              <w:spacing w:after="20"/>
              <w:ind w:left="20"/>
              <w:jc w:val="both"/>
            </w:pPr>
            <w:r>
              <w:rPr>
                <w:rFonts w:ascii="Times New Roman"/>
                <w:b w:val="false"/>
                <w:i w:val="false"/>
                <w:color w:val="000000"/>
                <w:sz w:val="20"/>
              </w:rPr>
              <w:t>
— — benzyl alcohol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w:t>
            </w:r>
          </w:p>
          <w:p>
            <w:pPr>
              <w:spacing w:after="20"/>
              <w:ind w:left="20"/>
              <w:jc w:val="both"/>
            </w:pPr>
            <w:r>
              <w:rPr>
                <w:rFonts w:ascii="Times New Roman"/>
                <w:b w:val="false"/>
                <w:i w:val="false"/>
                <w:color w:val="000000"/>
                <w:sz w:val="20"/>
              </w:rPr>
              <w:t>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propane;</w:t>
            </w:r>
          </w:p>
          <w:p>
            <w:pPr>
              <w:spacing w:after="20"/>
              <w:ind w:left="20"/>
              <w:jc w:val="both"/>
            </w:pPr>
            <w:r>
              <w:rPr>
                <w:rFonts w:ascii="Times New Roman"/>
                <w:b w:val="false"/>
                <w:i w:val="false"/>
                <w:color w:val="000000"/>
                <w:sz w:val="20"/>
              </w:rPr>
              <w:t>
— — — with the purity of at least 99%</w:t>
            </w:r>
          </w:p>
          <w:p>
            <w:pPr>
              <w:spacing w:after="20"/>
              <w:ind w:left="20"/>
              <w:jc w:val="both"/>
            </w:pPr>
            <w:r>
              <w:rPr>
                <w:rFonts w:ascii="Times New Roman"/>
                <w:b w:val="false"/>
                <w:i w:val="false"/>
                <w:color w:val="000000"/>
                <w:sz w:val="20"/>
              </w:rPr>
              <w:t>
— — — — for use as fuel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propane;</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for other purposes;</w:t>
            </w:r>
          </w:p>
          <w:p>
            <w:pPr>
              <w:spacing w:after="20"/>
              <w:ind w:left="20"/>
              <w:jc w:val="both"/>
            </w:pPr>
            <w:r>
              <w:rPr>
                <w:rFonts w:ascii="Times New Roman"/>
                <w:b w:val="false"/>
                <w:i w:val="false"/>
                <w:color w:val="000000"/>
                <w:sz w:val="20"/>
              </w:rPr>
              <w:t>
— — — — — with the purity of more than 90% but less than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propane;</w:t>
            </w:r>
          </w:p>
          <w:p>
            <w:pPr>
              <w:spacing w:after="20"/>
              <w:ind w:left="20"/>
              <w:jc w:val="both"/>
            </w:pPr>
            <w:r>
              <w:rPr>
                <w:rFonts w:ascii="Times New Roman"/>
                <w:b w:val="false"/>
                <w:i w:val="false"/>
                <w:color w:val="000000"/>
                <w:sz w:val="20"/>
              </w:rPr>
              <w:t>
— — — propane with the purity of not less than 99 %;</w:t>
            </w:r>
          </w:p>
          <w:p>
            <w:pPr>
              <w:spacing w:after="20"/>
              <w:ind w:left="20"/>
              <w:jc w:val="both"/>
            </w:pPr>
            <w:r>
              <w:rPr>
                <w:rFonts w:ascii="Times New Roman"/>
                <w:b w:val="false"/>
                <w:i w:val="false"/>
                <w:color w:val="000000"/>
                <w:sz w:val="20"/>
              </w:rPr>
              <w:t>
— — — — for specific refining processes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propane;</w:t>
            </w:r>
          </w:p>
          <w:p>
            <w:pPr>
              <w:spacing w:after="20"/>
              <w:ind w:left="20"/>
              <w:jc w:val="both"/>
            </w:pPr>
            <w:r>
              <w:rPr>
                <w:rFonts w:ascii="Times New Roman"/>
                <w:b w:val="false"/>
                <w:i w:val="false"/>
                <w:color w:val="000000"/>
                <w:sz w:val="20"/>
              </w:rPr>
              <w:t>
— — — propane with the purity of not less than 99 %;</w:t>
            </w:r>
          </w:p>
          <w:p>
            <w:pPr>
              <w:spacing w:after="20"/>
              <w:ind w:left="20"/>
              <w:jc w:val="both"/>
            </w:pPr>
            <w:r>
              <w:rPr>
                <w:rFonts w:ascii="Times New Roman"/>
                <w:b w:val="false"/>
                <w:i w:val="false"/>
                <w:color w:val="000000"/>
                <w:sz w:val="20"/>
              </w:rPr>
              <w:t>
— — — — for chemical transformations in processes other than those specified in sub-subitem 2711 12 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propane;</w:t>
            </w:r>
          </w:p>
          <w:p>
            <w:pPr>
              <w:spacing w:after="20"/>
              <w:ind w:left="20"/>
              <w:jc w:val="both"/>
            </w:pPr>
            <w:r>
              <w:rPr>
                <w:rFonts w:ascii="Times New Roman"/>
                <w:b w:val="false"/>
                <w:i w:val="false"/>
                <w:color w:val="000000"/>
                <w:sz w:val="20"/>
              </w:rPr>
              <w:t>
— — — others;</w:t>
            </w:r>
          </w:p>
          <w:p>
            <w:pPr>
              <w:spacing w:after="20"/>
              <w:ind w:left="20"/>
              <w:jc w:val="both"/>
            </w:pPr>
            <w:r>
              <w:rPr>
                <w:rFonts w:ascii="Times New Roman"/>
                <w:b w:val="false"/>
                <w:i w:val="false"/>
                <w:color w:val="000000"/>
                <w:sz w:val="20"/>
              </w:rPr>
              <w:t>
— — — — for other purposes;</w:t>
            </w:r>
          </w:p>
          <w:p>
            <w:pPr>
              <w:spacing w:after="20"/>
              <w:ind w:left="20"/>
              <w:jc w:val="both"/>
            </w:pPr>
            <w:r>
              <w:rPr>
                <w:rFonts w:ascii="Times New Roman"/>
                <w:b w:val="false"/>
                <w:i w:val="false"/>
                <w:color w:val="000000"/>
                <w:sz w:val="20"/>
              </w:rPr>
              <w:t>
—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butanes;</w:t>
            </w:r>
          </w:p>
          <w:p>
            <w:pPr>
              <w:spacing w:after="20"/>
              <w:ind w:left="20"/>
              <w:jc w:val="both"/>
            </w:pPr>
            <w:r>
              <w:rPr>
                <w:rFonts w:ascii="Times New Roman"/>
                <w:b w:val="false"/>
                <w:i w:val="false"/>
                <w:color w:val="000000"/>
                <w:sz w:val="20"/>
              </w:rPr>
              <w:t>
— — — for specific refining processes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butanes;</w:t>
            </w:r>
          </w:p>
          <w:p>
            <w:pPr>
              <w:spacing w:after="20"/>
              <w:ind w:left="20"/>
              <w:jc w:val="both"/>
            </w:pPr>
            <w:r>
              <w:rPr>
                <w:rFonts w:ascii="Times New Roman"/>
                <w:b w:val="false"/>
                <w:i w:val="false"/>
                <w:color w:val="000000"/>
                <w:sz w:val="20"/>
              </w:rPr>
              <w:t>
— — — for chemical transformations in processes other than those specified in sub-subitem 2711 13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butanes;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with the purity of more than 90 %, but less than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and other gaseous hydrocarbons:</w:t>
            </w:r>
          </w:p>
          <w:p>
            <w:pPr>
              <w:spacing w:after="20"/>
              <w:ind w:left="20"/>
              <w:jc w:val="both"/>
            </w:pPr>
            <w:r>
              <w:rPr>
                <w:rFonts w:ascii="Times New Roman"/>
                <w:b w:val="false"/>
                <w:i w:val="false"/>
                <w:color w:val="000000"/>
                <w:sz w:val="20"/>
              </w:rPr>
              <w:t>
— liquified;</w:t>
            </w:r>
          </w:p>
          <w:p>
            <w:pPr>
              <w:spacing w:after="20"/>
              <w:ind w:left="20"/>
              <w:jc w:val="both"/>
            </w:pPr>
            <w:r>
              <w:rPr>
                <w:rFonts w:ascii="Times New Roman"/>
                <w:b w:val="false"/>
                <w:i w:val="false"/>
                <w:color w:val="000000"/>
                <w:sz w:val="20"/>
              </w:rPr>
              <w:t>
— — butanes;</w:t>
            </w:r>
          </w:p>
          <w:p>
            <w:pPr>
              <w:spacing w:after="20"/>
              <w:ind w:left="20"/>
              <w:jc w:val="both"/>
            </w:pPr>
            <w:r>
              <w:rPr>
                <w:rFonts w:ascii="Times New Roman"/>
                <w:b w:val="false"/>
                <w:i w:val="false"/>
                <w:color w:val="000000"/>
                <w:sz w:val="20"/>
              </w:rPr>
              <w:t>
— — — for other purposes;</w:t>
            </w:r>
          </w:p>
          <w:p>
            <w:pPr>
              <w:spacing w:after="20"/>
              <w:ind w:left="20"/>
              <w:jc w:val="both"/>
            </w:pPr>
            <w:r>
              <w:rPr>
                <w:rFonts w:ascii="Times New Roman"/>
                <w:b w:val="false"/>
                <w:i w:val="false"/>
                <w:color w:val="000000"/>
                <w:sz w:val="20"/>
              </w:rPr>
              <w:t>
—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chloride (hydrochloric acid); chlorosulfonic acid:</w:t>
            </w:r>
          </w:p>
          <w:p>
            <w:pPr>
              <w:spacing w:after="20"/>
              <w:ind w:left="20"/>
              <w:jc w:val="both"/>
            </w:pPr>
            <w:r>
              <w:rPr>
                <w:rFonts w:ascii="Times New Roman"/>
                <w:b w:val="false"/>
                <w:i w:val="false"/>
                <w:color w:val="000000"/>
                <w:sz w:val="20"/>
              </w:rPr>
              <w:t>
— hydrogen chloride (hydrochloric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Sulfuric acid; oleum:</w:t>
            </w:r>
          </w:p>
          <w:p>
            <w:pPr>
              <w:spacing w:after="20"/>
              <w:ind w:left="20"/>
              <w:jc w:val="both"/>
            </w:pPr>
            <w:r>
              <w:rPr>
                <w:rFonts w:ascii="Times New Roman"/>
                <w:b w:val="false"/>
                <w:i w:val="false"/>
                <w:color w:val="000000"/>
                <w:sz w:val="20"/>
              </w:rPr>
              <w:t>
— sulfuric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Halides and halide oxides of non-metals:</w:t>
            </w:r>
          </w:p>
          <w:p>
            <w:pPr>
              <w:spacing w:after="20"/>
              <w:ind w:left="20"/>
              <w:jc w:val="both"/>
            </w:pPr>
            <w:r>
              <w:rPr>
                <w:rFonts w:ascii="Times New Roman"/>
                <w:b w:val="false"/>
                <w:i w:val="false"/>
                <w:color w:val="000000"/>
                <w:sz w:val="20"/>
              </w:rPr>
              <w:t>
— chlorides and oxide chlorides:</w:t>
            </w:r>
          </w:p>
          <w:p>
            <w:pPr>
              <w:spacing w:after="20"/>
              <w:ind w:left="20"/>
              <w:jc w:val="both"/>
            </w:pPr>
            <w:r>
              <w:rPr>
                <w:rFonts w:ascii="Times New Roman"/>
                <w:b w:val="false"/>
                <w:i w:val="false"/>
                <w:color w:val="000000"/>
                <w:sz w:val="20"/>
              </w:rPr>
              <w:t>
— — thionyl 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oxometallic or peroxometallic acids:</w:t>
            </w:r>
          </w:p>
          <w:p>
            <w:pPr>
              <w:spacing w:after="20"/>
              <w:ind w:left="20"/>
              <w:jc w:val="both"/>
            </w:pPr>
            <w:r>
              <w:rPr>
                <w:rFonts w:ascii="Times New Roman"/>
                <w:b w:val="false"/>
                <w:i w:val="false"/>
                <w:color w:val="000000"/>
                <w:sz w:val="20"/>
              </w:rPr>
              <w:t>
— manganites, manganates, and permanganates:</w:t>
            </w:r>
          </w:p>
          <w:p>
            <w:pPr>
              <w:spacing w:after="20"/>
              <w:ind w:left="20"/>
              <w:jc w:val="both"/>
            </w:pPr>
            <w:r>
              <w:rPr>
                <w:rFonts w:ascii="Times New Roman"/>
                <w:b w:val="false"/>
                <w:i w:val="false"/>
                <w:color w:val="000000"/>
                <w:sz w:val="20"/>
              </w:rPr>
              <w:t>
— — potassium permanganate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hydrocarbons:</w:t>
            </w:r>
          </w:p>
          <w:p>
            <w:pPr>
              <w:spacing w:after="20"/>
              <w:ind w:left="20"/>
              <w:jc w:val="both"/>
            </w:pPr>
            <w:r>
              <w:rPr>
                <w:rFonts w:ascii="Times New Roman"/>
                <w:b w:val="false"/>
                <w:i w:val="false"/>
                <w:color w:val="000000"/>
                <w:sz w:val="20"/>
              </w:rPr>
              <w:t>
— 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hydrocarbons:</w:t>
            </w:r>
          </w:p>
          <w:p>
            <w:pPr>
              <w:spacing w:after="20"/>
              <w:ind w:left="20"/>
              <w:jc w:val="both"/>
            </w:pPr>
            <w:r>
              <w:rPr>
                <w:rFonts w:ascii="Times New Roman"/>
                <w:b w:val="false"/>
                <w:i w:val="false"/>
                <w:color w:val="000000"/>
                <w:sz w:val="20"/>
              </w:rPr>
              <w:t>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Halogenated hydrocarbon derivatives:</w:t>
            </w:r>
          </w:p>
          <w:p>
            <w:pPr>
              <w:spacing w:after="20"/>
              <w:ind w:left="20"/>
              <w:jc w:val="both"/>
            </w:pPr>
            <w:r>
              <w:rPr>
                <w:rFonts w:ascii="Times New Roman"/>
                <w:b w:val="false"/>
                <w:i w:val="false"/>
                <w:color w:val="000000"/>
                <w:sz w:val="20"/>
              </w:rPr>
              <w:t>
— brominated or iodinated derivatives of acyclic hydrocarbons:</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Halogenated hydrocarbon derivatives:</w:t>
            </w:r>
          </w:p>
          <w:p>
            <w:pPr>
              <w:spacing w:after="20"/>
              <w:ind w:left="20"/>
              <w:jc w:val="both"/>
            </w:pPr>
            <w:r>
              <w:rPr>
                <w:rFonts w:ascii="Times New Roman"/>
                <w:b w:val="false"/>
                <w:i w:val="false"/>
                <w:color w:val="000000"/>
                <w:sz w:val="20"/>
              </w:rPr>
              <w:t>
— halogenated derivatives of aromatic hydrocarbons: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Sulphurised, nitrated or nitrosated derivatives of hydrocarbons, halogenated or unhalogenated:</w:t>
            </w:r>
          </w:p>
          <w:p>
            <w:pPr>
              <w:spacing w:after="20"/>
              <w:ind w:left="20"/>
              <w:jc w:val="both"/>
            </w:pPr>
            <w:r>
              <w:rPr>
                <w:rFonts w:ascii="Times New Roman"/>
                <w:b w:val="false"/>
                <w:i w:val="false"/>
                <w:color w:val="000000"/>
                <w:sz w:val="20"/>
              </w:rPr>
              <w:t>
— derivatives containing only nitro or only nitroso groups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alcohols and their halogenated, sulfated, nitrated, or nitrosated derivatives:</w:t>
            </w:r>
          </w:p>
          <w:p>
            <w:pPr>
              <w:spacing w:after="20"/>
              <w:ind w:left="20"/>
              <w:jc w:val="both"/>
            </w:pPr>
            <w:r>
              <w:rPr>
                <w:rFonts w:ascii="Times New Roman"/>
                <w:b w:val="false"/>
                <w:i w:val="false"/>
                <w:color w:val="000000"/>
                <w:sz w:val="20"/>
              </w:rPr>
              <w:t>
— diols: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butane-1,4-diol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esters, ether alcohols, ether phenols, ether alcohol phenols, peroxides of alcohols, simple esters, acetals, hemiacetals, and ketones (of definite or indefinite chemical composition) and their halogenated, sulfated, nitrated, or nitrosated derivatives:</w:t>
            </w:r>
          </w:p>
          <w:p>
            <w:pPr>
              <w:spacing w:after="20"/>
              <w:ind w:left="20"/>
              <w:jc w:val="both"/>
            </w:pPr>
            <w:r>
              <w:rPr>
                <w:rFonts w:ascii="Times New Roman"/>
                <w:b w:val="false"/>
                <w:i w:val="false"/>
                <w:color w:val="000000"/>
                <w:sz w:val="20"/>
              </w:rPr>
              <w:t>
— simple acyclic esters and their halogenated, sulfated, nitrated, or nitrosated derivatives:</w:t>
            </w:r>
          </w:p>
          <w:p>
            <w:pPr>
              <w:spacing w:after="20"/>
              <w:ind w:left="20"/>
              <w:jc w:val="both"/>
            </w:pPr>
            <w:r>
              <w:rPr>
                <w:rFonts w:ascii="Times New Roman"/>
                <w:b w:val="false"/>
                <w:i w:val="false"/>
                <w:color w:val="000000"/>
                <w:sz w:val="20"/>
              </w:rPr>
              <w:t>
— — simple diethyl ester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esters, ether alcohols, ether phenols, ether alcohol phenols, peroxides of alcohols, simple esters, acetals, hemiacetals, and ketones (of definite or indefinite chemical composition) and their halogenated, sulfated, nitrated, or nitrosated derivatives:</w:t>
            </w:r>
          </w:p>
          <w:p>
            <w:pPr>
              <w:spacing w:after="20"/>
              <w:ind w:left="20"/>
              <w:jc w:val="both"/>
            </w:pPr>
            <w:r>
              <w:rPr>
                <w:rFonts w:ascii="Times New Roman"/>
                <w:b w:val="false"/>
                <w:i w:val="false"/>
                <w:color w:val="000000"/>
                <w:sz w:val="20"/>
              </w:rPr>
              <w:t>
— simple acyclic esters and their halogenated, sulfated, nitrated, or nitrosated derivatives: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Aldehydes containing or not containing another oxygen-containing functional group; cyclic aldehyde polymers; paraformaldehyde:</w:t>
            </w:r>
          </w:p>
          <w:p>
            <w:pPr>
              <w:spacing w:after="20"/>
              <w:ind w:left="20"/>
              <w:jc w:val="both"/>
            </w:pPr>
            <w:r>
              <w:rPr>
                <w:rFonts w:ascii="Times New Roman"/>
                <w:b w:val="false"/>
                <w:i w:val="false"/>
                <w:color w:val="000000"/>
                <w:sz w:val="20"/>
              </w:rPr>
              <w:t>
— cyclic aldehydes not containing another oxygen-containing functional group:</w:t>
            </w:r>
          </w:p>
          <w:p>
            <w:pPr>
              <w:spacing w:after="20"/>
              <w:ind w:left="20"/>
              <w:jc w:val="both"/>
            </w:pPr>
            <w:r>
              <w:rPr>
                <w:rFonts w:ascii="Times New Roman"/>
                <w:b w:val="false"/>
                <w:i w:val="false"/>
                <w:color w:val="000000"/>
                <w:sz w:val="20"/>
              </w:rPr>
              <w:t>
— — benzaldehyde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Aldehydes containing or not containing another oxygen-containing functional group; cyclic aldehyde polymers; paraformaldehyde:</w:t>
            </w:r>
          </w:p>
          <w:p>
            <w:pPr>
              <w:spacing w:after="20"/>
              <w:ind w:left="20"/>
              <w:jc w:val="both"/>
            </w:pPr>
            <w:r>
              <w:rPr>
                <w:rFonts w:ascii="Times New Roman"/>
                <w:b w:val="false"/>
                <w:i w:val="false"/>
                <w:color w:val="000000"/>
                <w:sz w:val="20"/>
              </w:rPr>
              <w:t>
— aldehyde alcohols, aldehydes of simple esters, aldehyde phenols, and aldehydes containing another oxygen-containing functional group:</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 and quinones, whether or not containing other oxygen-containing functional groups, and their halogenated, sulfated, nitrated, or nitrosated derivatives:</w:t>
            </w:r>
          </w:p>
          <w:p>
            <w:pPr>
              <w:spacing w:after="20"/>
              <w:ind w:left="20"/>
              <w:jc w:val="both"/>
            </w:pPr>
            <w:r>
              <w:rPr>
                <w:rFonts w:ascii="Times New Roman"/>
                <w:b w:val="false"/>
                <w:i w:val="false"/>
                <w:color w:val="000000"/>
                <w:sz w:val="20"/>
              </w:rPr>
              <w:t>
— acyclic ketones that do not contain any other oxygen-containing functional group:</w:t>
            </w:r>
          </w:p>
          <w:p>
            <w:pPr>
              <w:spacing w:after="20"/>
              <w:ind w:left="20"/>
              <w:jc w:val="both"/>
            </w:pPr>
            <w:r>
              <w:rPr>
                <w:rFonts w:ascii="Times New Roman"/>
                <w:b w:val="false"/>
                <w:i w:val="false"/>
                <w:color w:val="000000"/>
                <w:sz w:val="20"/>
              </w:rPr>
              <w:t>
— — acetone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 and quinones, whether or not containing other oxygen-containing functional groups, and their halogenated, sulfated, nitrated, or nitrosated derivatives:</w:t>
            </w:r>
          </w:p>
          <w:p>
            <w:pPr>
              <w:spacing w:after="20"/>
              <w:ind w:left="20"/>
              <w:jc w:val="both"/>
            </w:pPr>
            <w:r>
              <w:rPr>
                <w:rFonts w:ascii="Times New Roman"/>
                <w:b w:val="false"/>
                <w:i w:val="false"/>
                <w:color w:val="000000"/>
                <w:sz w:val="20"/>
              </w:rPr>
              <w:t>
— acyclic ketones that do not contain any other oxygen-containing functional group:</w:t>
            </w:r>
          </w:p>
          <w:p>
            <w:pPr>
              <w:spacing w:after="20"/>
              <w:ind w:left="20"/>
              <w:jc w:val="both"/>
            </w:pPr>
            <w:r>
              <w:rPr>
                <w:rFonts w:ascii="Times New Roman"/>
                <w:b w:val="false"/>
                <w:i w:val="false"/>
                <w:color w:val="000000"/>
                <w:sz w:val="20"/>
              </w:rPr>
              <w:t>
— — butanone (methyl ethyl ketone)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 and quinones, whether or not containing other oxygen-containing functional groups, and their halogenated, sulfated, nitrated, or nitrosated derivatives:</w:t>
            </w:r>
          </w:p>
          <w:p>
            <w:pPr>
              <w:spacing w:after="20"/>
              <w:ind w:left="20"/>
              <w:jc w:val="both"/>
            </w:pPr>
            <w:r>
              <w:rPr>
                <w:rFonts w:ascii="Times New Roman"/>
                <w:b w:val="false"/>
                <w:i w:val="false"/>
                <w:color w:val="000000"/>
                <w:sz w:val="20"/>
              </w:rPr>
              <w:t>
— aromatic ketones not containing any other oxygen-containing functional group:</w:t>
            </w:r>
          </w:p>
          <w:p>
            <w:pPr>
              <w:spacing w:after="20"/>
              <w:ind w:left="20"/>
              <w:jc w:val="both"/>
            </w:pPr>
            <w:r>
              <w:rPr>
                <w:rFonts w:ascii="Times New Roman"/>
                <w:b w:val="false"/>
                <w:i w:val="false"/>
                <w:color w:val="000000"/>
                <w:sz w:val="20"/>
              </w:rPr>
              <w:t>
— — phenylacetone (Phenyl-2-Propanone)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 and quinones, whether or not containing other oxygen-containing functional groups, and their halogenated, sulfated, nitrated, or nitrosated derivatives:</w:t>
            </w:r>
          </w:p>
          <w:p>
            <w:pPr>
              <w:spacing w:after="20"/>
              <w:ind w:left="20"/>
              <w:jc w:val="both"/>
            </w:pPr>
            <w:r>
              <w:rPr>
                <w:rFonts w:ascii="Times New Roman"/>
                <w:b w:val="false"/>
                <w:i w:val="false"/>
                <w:color w:val="000000"/>
                <w:sz w:val="20"/>
              </w:rPr>
              <w:t>
— aromatic ketones not containing any other oxygen-containing functional group:</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Ketones and quinones, whether or not containing other oxygen-containing functional groups, and their halogenated, sulfated, nitrated, or nitrosated derivatives:</w:t>
            </w:r>
          </w:p>
          <w:p>
            <w:pPr>
              <w:spacing w:after="20"/>
              <w:ind w:left="20"/>
              <w:jc w:val="both"/>
            </w:pPr>
            <w:r>
              <w:rPr>
                <w:rFonts w:ascii="Times New Roman"/>
                <w:b w:val="false"/>
                <w:i w:val="false"/>
                <w:color w:val="000000"/>
                <w:sz w:val="20"/>
              </w:rPr>
              <w:t>
— ketophenols and ketones containing another oxygen-containing functional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saturated monocarboxylic acids and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acetic acid and its salts; acetic anhydride:</w:t>
            </w:r>
          </w:p>
          <w:p>
            <w:pPr>
              <w:spacing w:after="20"/>
              <w:ind w:left="20"/>
              <w:jc w:val="both"/>
            </w:pPr>
            <w:r>
              <w:rPr>
                <w:rFonts w:ascii="Times New Roman"/>
                <w:b w:val="false"/>
                <w:i w:val="false"/>
                <w:color w:val="000000"/>
                <w:sz w:val="20"/>
              </w:rPr>
              <w:t>
— — acetic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saturated monocarboxylic acids and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acetic acid and its salts; acetic anhydride:</w:t>
            </w:r>
          </w:p>
          <w:p>
            <w:pPr>
              <w:spacing w:after="20"/>
              <w:ind w:left="20"/>
              <w:jc w:val="both"/>
            </w:pPr>
            <w:r>
              <w:rPr>
                <w:rFonts w:ascii="Times New Roman"/>
                <w:b w:val="false"/>
                <w:i w:val="false"/>
                <w:color w:val="000000"/>
                <w:sz w:val="20"/>
              </w:rPr>
              <w:t>
— — acetic anhydride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Acyclic saturated monocarboxylic acids and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Unsaturated acyclic monocarboxylic acids, cyclic monocarboxylic acids,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acyclic monocarboxylic unsaturated acids, their anhydrides, halogen anhydrides, peroxides, peroxy acids, and derivatives of these compounds:</w:t>
            </w:r>
          </w:p>
          <w:p>
            <w:pPr>
              <w:spacing w:after="20"/>
              <w:ind w:left="20"/>
              <w:jc w:val="both"/>
            </w:pPr>
            <w:r>
              <w:rPr>
                <w:rFonts w:ascii="Times New Roman"/>
                <w:b w:val="false"/>
                <w:i w:val="false"/>
                <w:color w:val="000000"/>
                <w:sz w:val="20"/>
              </w:rPr>
              <w:t>
— — complex acrylate esters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Unsaturated acyclic monocarboxylic acids, cyclic monocarboxylic acids,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acyclic monocarboxylic unsaturated acids, their anhydrides, halogen anhydrides, peroxides, peroxy acids, and derivatives of these compounds:</w:t>
            </w:r>
          </w:p>
          <w:p>
            <w:pPr>
              <w:spacing w:after="20"/>
              <w:ind w:left="20"/>
              <w:jc w:val="both"/>
            </w:pPr>
            <w:r>
              <w:rPr>
                <w:rFonts w:ascii="Times New Roman"/>
                <w:b w:val="false"/>
                <w:i w:val="false"/>
                <w:color w:val="000000"/>
                <w:sz w:val="20"/>
              </w:rPr>
              <w:t>
— — complex methacrylic acid esters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Unsaturated acyclic monocarboxylic acids, cyclic monocarboxylic acids,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aromatic monocarboxylic acids, their anhydrides, halogen anhydrides, peroxides, peroxyacids, and their derivatives:</w:t>
            </w:r>
          </w:p>
          <w:p>
            <w:pPr>
              <w:spacing w:after="20"/>
              <w:ind w:left="20"/>
              <w:jc w:val="both"/>
            </w:pPr>
            <w:r>
              <w:rPr>
                <w:rFonts w:ascii="Times New Roman"/>
                <w:b w:val="false"/>
                <w:i w:val="false"/>
                <w:color w:val="000000"/>
                <w:sz w:val="20"/>
              </w:rPr>
              <w:t>
— — phenyl acetic acid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Unsaturated acyclic monocarboxylic acids, cyclic monocarboxylic acids, their anhydrides, halogenated anhydrides, peroxides, and peroxyacids; their halogenated, sulfated, nitrated, or nitrosated derivatives:</w:t>
            </w:r>
          </w:p>
          <w:p>
            <w:pPr>
              <w:spacing w:after="20"/>
              <w:ind w:left="20"/>
              <w:jc w:val="both"/>
            </w:pPr>
            <w:r>
              <w:rPr>
                <w:rFonts w:ascii="Times New Roman"/>
                <w:b w:val="false"/>
                <w:i w:val="false"/>
                <w:color w:val="000000"/>
                <w:sz w:val="20"/>
              </w:rPr>
              <w:t>
— aromatic monocarboxylic acids, their anhydrides, halogen anhydrides, peroxides, peroxyacids, and their derivatives: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complex phenylacetic acid esters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Esters of other inorganic acids of non-metals (except esters of hydrogen halides) and their salts; their halogenated, sulfated, nitrated, or nitrosated derivatives: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esters of sulfuric and carbonic acids, complex, and their salts, and their halogenated, sulfated, nitrated, or nitrosated derivatives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an amine functional group:</w:t>
            </w:r>
          </w:p>
          <w:p>
            <w:pPr>
              <w:spacing w:after="20"/>
              <w:ind w:left="20"/>
              <w:jc w:val="both"/>
            </w:pPr>
            <w:r>
              <w:rPr>
                <w:rFonts w:ascii="Times New Roman"/>
                <w:b w:val="false"/>
                <w:i w:val="false"/>
                <w:color w:val="000000"/>
                <w:sz w:val="20"/>
              </w:rPr>
              <w:t>
— acyclic monoamines and their derivatives; salts of these compounds:</w:t>
            </w:r>
          </w:p>
          <w:p>
            <w:pPr>
              <w:spacing w:after="20"/>
              <w:ind w:left="20"/>
              <w:jc w:val="both"/>
            </w:pPr>
            <w:r>
              <w:rPr>
                <w:rFonts w:ascii="Times New Roman"/>
                <w:b w:val="false"/>
                <w:i w:val="false"/>
                <w:color w:val="000000"/>
                <w:sz w:val="20"/>
              </w:rPr>
              <w:t>
— — methylamine, di- or trimethylamine and their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an amine functional group:</w:t>
            </w:r>
          </w:p>
          <w:p>
            <w:pPr>
              <w:spacing w:after="20"/>
              <w:ind w:left="20"/>
              <w:jc w:val="both"/>
            </w:pPr>
            <w:r>
              <w:rPr>
                <w:rFonts w:ascii="Times New Roman"/>
                <w:b w:val="false"/>
                <w:i w:val="false"/>
                <w:color w:val="000000"/>
                <w:sz w:val="20"/>
              </w:rPr>
              <w:t>
— Acyclic monoamines and their derivatives; salts of these compounds: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an amine functional group:</w:t>
            </w:r>
          </w:p>
          <w:p>
            <w:pPr>
              <w:spacing w:after="20"/>
              <w:ind w:left="20"/>
              <w:jc w:val="both"/>
            </w:pPr>
            <w:r>
              <w:rPr>
                <w:rFonts w:ascii="Times New Roman"/>
                <w:b w:val="false"/>
                <w:i w:val="false"/>
                <w:color w:val="000000"/>
                <w:sz w:val="20"/>
              </w:rPr>
              <w:t>
— mono- or polyamines, cycloalkane, cycloalkene, or cycloterpene, and their derivatives; salts of these compounds:</w:t>
            </w:r>
          </w:p>
          <w:p>
            <w:pPr>
              <w:spacing w:after="20"/>
              <w:ind w:left="20"/>
              <w:jc w:val="both"/>
            </w:pPr>
            <w:r>
              <w:rPr>
                <w:rFonts w:ascii="Times New Roman"/>
                <w:b w:val="false"/>
                <w:i w:val="false"/>
                <w:color w:val="000000"/>
                <w:sz w:val="20"/>
              </w:rPr>
              <w:t>
— — cyclohexylamine and cyclohexyl dimethylamine and their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an amine functional group:</w:t>
            </w:r>
          </w:p>
          <w:p>
            <w:pPr>
              <w:spacing w:after="20"/>
              <w:ind w:left="20"/>
              <w:jc w:val="both"/>
            </w:pPr>
            <w:r>
              <w:rPr>
                <w:rFonts w:ascii="Times New Roman"/>
                <w:b w:val="false"/>
                <w:i w:val="false"/>
                <w:color w:val="000000"/>
                <w:sz w:val="20"/>
              </w:rPr>
              <w:t>
— aromatic monoamines and their derivatives; salts of these compounds: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compounds containing an oxygen-containing functional group:</w:t>
            </w:r>
          </w:p>
          <w:p>
            <w:pPr>
              <w:spacing w:after="20"/>
              <w:ind w:left="20"/>
              <w:jc w:val="both"/>
            </w:pPr>
            <w:r>
              <w:rPr>
                <w:rFonts w:ascii="Times New Roman"/>
                <w:b w:val="false"/>
                <w:i w:val="false"/>
                <w:color w:val="000000"/>
                <w:sz w:val="20"/>
              </w:rPr>
              <w:t>
— amino alcohols, except for compounds containing more than one type of oxygen-containing functional group, and their simple and complex esters; salts of these compounds:</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compounds containing an oxygen-containing functional group:</w:t>
            </w:r>
          </w:p>
          <w:p>
            <w:pPr>
              <w:spacing w:after="20"/>
              <w:ind w:left="20"/>
              <w:jc w:val="both"/>
            </w:pPr>
            <w:r>
              <w:rPr>
                <w:rFonts w:ascii="Times New Roman"/>
                <w:b w:val="false"/>
                <w:i w:val="false"/>
                <w:color w:val="000000"/>
                <w:sz w:val="20"/>
              </w:rPr>
              <w:t>
— amino acids, except for compounds containing more than one type of oxygen-containing functional group, and their esters; salts of these compounds:</w:t>
            </w:r>
          </w:p>
          <w:p>
            <w:pPr>
              <w:spacing w:after="20"/>
              <w:ind w:left="20"/>
              <w:jc w:val="both"/>
            </w:pPr>
            <w:r>
              <w:rPr>
                <w:rFonts w:ascii="Times New Roman"/>
                <w:b w:val="false"/>
                <w:i w:val="false"/>
                <w:color w:val="000000"/>
                <w:sz w:val="20"/>
              </w:rPr>
              <w:t>
— — anthranilic acid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 carboxamide functional group; carboxylic acid compounds containing an amide functional group:</w:t>
            </w:r>
          </w:p>
          <w:p>
            <w:pPr>
              <w:spacing w:after="20"/>
              <w:ind w:left="20"/>
              <w:jc w:val="both"/>
            </w:pPr>
            <w:r>
              <w:rPr>
                <w:rFonts w:ascii="Times New Roman"/>
                <w:b w:val="false"/>
                <w:i w:val="false"/>
                <w:color w:val="000000"/>
                <w:sz w:val="20"/>
              </w:rPr>
              <w:t>
— cyclic amides (including cyclic carbamates) and their derivatives; salts of these compounds:</w:t>
            </w:r>
          </w:p>
          <w:p>
            <w:pPr>
              <w:spacing w:after="20"/>
              <w:ind w:left="20"/>
              <w:jc w:val="both"/>
            </w:pPr>
            <w:r>
              <w:rPr>
                <w:rFonts w:ascii="Times New Roman"/>
                <w:b w:val="false"/>
                <w:i w:val="false"/>
                <w:color w:val="000000"/>
                <w:sz w:val="20"/>
              </w:rPr>
              <w:t>
— — 2-acetamidobenzoic acid (N-acetylananthronic acid)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 nitrile functional group:</w:t>
            </w:r>
          </w:p>
          <w:p>
            <w:pPr>
              <w:spacing w:after="20"/>
              <w:ind w:left="20"/>
              <w:jc w:val="both"/>
            </w:pPr>
            <w:r>
              <w:rPr>
                <w:rFonts w:ascii="Times New Roman"/>
                <w:b w:val="false"/>
                <w:i w:val="false"/>
                <w:color w:val="000000"/>
                <w:sz w:val="20"/>
              </w:rPr>
              <w:t>
— alpha-phenylacetonitrile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Compounds containing a nitrile functional group:</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oxygen heteroatom(s):</w:t>
            </w:r>
          </w:p>
          <w:p>
            <w:pPr>
              <w:spacing w:after="20"/>
              <w:ind w:left="20"/>
              <w:jc w:val="both"/>
            </w:pPr>
            <w:r>
              <w:rPr>
                <w:rFonts w:ascii="Times New Roman"/>
                <w:b w:val="false"/>
                <w:i w:val="false"/>
                <w:color w:val="000000"/>
                <w:sz w:val="20"/>
              </w:rPr>
              <w:t>
— compounds containing in the structure an uncondensed furan ring (hydrogenated or non-hydrogenated):</w:t>
            </w:r>
          </w:p>
          <w:p>
            <w:pPr>
              <w:spacing w:after="20"/>
              <w:ind w:left="20"/>
              <w:jc w:val="both"/>
            </w:pPr>
            <w:r>
              <w:rPr>
                <w:rFonts w:ascii="Times New Roman"/>
                <w:b w:val="false"/>
                <w:i w:val="false"/>
                <w:color w:val="000000"/>
                <w:sz w:val="20"/>
              </w:rPr>
              <w:t>
— — tetrahydrofuran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oxygen heteroatom(s):</w:t>
            </w:r>
          </w:p>
          <w:p>
            <w:pPr>
              <w:spacing w:after="20"/>
              <w:ind w:left="20"/>
              <w:jc w:val="both"/>
            </w:pPr>
            <w:r>
              <w:rPr>
                <w:rFonts w:ascii="Times New Roman"/>
                <w:b w:val="false"/>
                <w:i w:val="false"/>
                <w:color w:val="000000"/>
                <w:sz w:val="20"/>
              </w:rPr>
              <w:t>
— lactones:</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oxygen heteroatom(s):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isosafrole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oxygen heteroatom(s):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1-(1,3-Benzodioxol-5-yl)propan-2-one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oxygen heteroatom(s):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piperonal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oxygen heteroatom(s):</w:t>
            </w:r>
          </w:p>
          <w:p>
            <w:pPr>
              <w:spacing w:after="20"/>
              <w:ind w:left="20"/>
              <w:jc w:val="both"/>
            </w:pPr>
            <w:r>
              <w:rPr>
                <w:rFonts w:ascii="Times New Roman"/>
                <w:b w:val="false"/>
                <w:i w:val="false"/>
                <w:color w:val="000000"/>
                <w:sz w:val="20"/>
              </w:rPr>
              <w:t>
— others:</w:t>
            </w:r>
          </w:p>
          <w:p>
            <w:pPr>
              <w:spacing w:after="20"/>
              <w:ind w:left="20"/>
              <w:jc w:val="both"/>
            </w:pPr>
            <w:r>
              <w:rPr>
                <w:rFonts w:ascii="Times New Roman"/>
                <w:b w:val="false"/>
                <w:i w:val="false"/>
                <w:color w:val="000000"/>
                <w:sz w:val="20"/>
              </w:rPr>
              <w:t>
— — safrole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an uncondensed pyridine ring (hydrogenated or unhydrogenated) in their structure:</w:t>
            </w:r>
          </w:p>
          <w:p>
            <w:pPr>
              <w:spacing w:after="20"/>
              <w:ind w:left="20"/>
              <w:jc w:val="both"/>
            </w:pPr>
            <w:r>
              <w:rPr>
                <w:rFonts w:ascii="Times New Roman"/>
                <w:b w:val="false"/>
                <w:i w:val="false"/>
                <w:color w:val="000000"/>
                <w:sz w:val="20"/>
              </w:rPr>
              <w:t>
— — piperidine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an uncondensed pyridine ring (hydrogenated or unhydrogenated) in their structure:</w:t>
            </w:r>
          </w:p>
          <w:p>
            <w:pPr>
              <w:spacing w:after="20"/>
              <w:ind w:left="20"/>
              <w:jc w:val="both"/>
            </w:pPr>
            <w:r>
              <w:rPr>
                <w:rFonts w:ascii="Times New Roman"/>
                <w:b w:val="false"/>
                <w:i w:val="false"/>
                <w:color w:val="000000"/>
                <w:sz w:val="20"/>
              </w:rPr>
              <w:t>
— — alfentanil (INN), anileridine (INN), bezitramide (INN), bromazepam (INN), carfentanil (INN), diphenoxine (INN), diphenoxylate (INN), dipipanone (INN), fentanyl (INN), ketobemidone (INN), methylphenidate (INN), pentazocine (INN), pethidine (INN), pethidine (INN) - intermediate product A, phencyclidine (INN) (PCP), phenoperidine (INN), pipradrol (INN), pyritramide (INN), propiram (INN), remifentanil (INN) and trimepiridine (INN); salts of these compounds:</w:t>
            </w:r>
          </w:p>
          <w:p>
            <w:pPr>
              <w:spacing w:after="20"/>
              <w:ind w:left="20"/>
              <w:jc w:val="both"/>
            </w:pPr>
            <w:r>
              <w:rPr>
                <w:rFonts w:ascii="Times New Roman"/>
                <w:b w:val="false"/>
                <w:i w:val="false"/>
                <w:color w:val="000000"/>
                <w:sz w:val="20"/>
              </w:rPr>
              <w:t>
— — — carfentanil (INN) and remifentanil (INN); salts of these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an uncondensed pyridine ring (hydrogenated or unhydrogenated) in their structure:</w:t>
            </w:r>
          </w:p>
          <w:p>
            <w:pPr>
              <w:spacing w:after="20"/>
              <w:ind w:left="20"/>
              <w:jc w:val="both"/>
            </w:pPr>
            <w:r>
              <w:rPr>
                <w:rFonts w:ascii="Times New Roman"/>
                <w:b w:val="false"/>
                <w:i w:val="false"/>
                <w:color w:val="000000"/>
                <w:sz w:val="20"/>
              </w:rPr>
              <w:t>
— — other fentanyls and their derivatives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an uncondensed pyridine ring (hydrogenated or non-hydrogenated) in their structure:</w:t>
            </w:r>
          </w:p>
          <w:p>
            <w:pPr>
              <w:spacing w:after="20"/>
              <w:ind w:left="20"/>
              <w:jc w:val="both"/>
            </w:pPr>
            <w:r>
              <w:rPr>
                <w:rFonts w:ascii="Times New Roman"/>
                <w:b w:val="false"/>
                <w:i w:val="false"/>
                <w:color w:val="000000"/>
                <w:sz w:val="20"/>
              </w:rPr>
              <w:t>
— — 3-quinucidinol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 non-condensed pyridine ring (hydrogenated or non-hydrogenated) in their structure:</w:t>
            </w:r>
          </w:p>
          <w:p>
            <w:pPr>
              <w:spacing w:after="20"/>
              <w:ind w:left="20"/>
              <w:jc w:val="both"/>
            </w:pPr>
            <w:r>
              <w:rPr>
                <w:rFonts w:ascii="Times New Roman"/>
                <w:b w:val="false"/>
                <w:i w:val="false"/>
                <w:color w:val="000000"/>
                <w:sz w:val="20"/>
              </w:rPr>
              <w:t>
— — 4-aniline-N-phenethylpiperidine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an uncondensed pyridine ring (hydrogenated or unhydrogenated) in their structure:</w:t>
            </w:r>
          </w:p>
          <w:p>
            <w:pPr>
              <w:spacing w:after="20"/>
              <w:ind w:left="20"/>
              <w:jc w:val="both"/>
            </w:pPr>
            <w:r>
              <w:rPr>
                <w:rFonts w:ascii="Times New Roman"/>
                <w:b w:val="false"/>
                <w:i w:val="false"/>
                <w:color w:val="000000"/>
                <w:sz w:val="20"/>
              </w:rPr>
              <w:t>
— — N-phenethyl-4-piperidone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Heterocyclic compounds containing only nitrogen heteroatom(s):</w:t>
            </w:r>
          </w:p>
          <w:p>
            <w:pPr>
              <w:spacing w:after="20"/>
              <w:ind w:left="20"/>
              <w:jc w:val="both"/>
            </w:pPr>
            <w:r>
              <w:rPr>
                <w:rFonts w:ascii="Times New Roman"/>
                <w:b w:val="false"/>
                <w:i w:val="false"/>
                <w:color w:val="000000"/>
                <w:sz w:val="20"/>
              </w:rPr>
              <w:t>
— compounds containing an uncondensed pyridine ring (hydrogenated or non-hydrogenated) in their structure:</w:t>
            </w:r>
          </w:p>
          <w:p>
            <w:pPr>
              <w:spacing w:after="20"/>
              <w:ind w:left="20"/>
              <w:jc w:val="both"/>
            </w:pPr>
            <w:r>
              <w:rPr>
                <w:rFonts w:ascii="Times New Roman"/>
                <w:b w:val="false"/>
                <w:i w:val="false"/>
                <w:color w:val="000000"/>
                <w:sz w:val="20"/>
              </w:rPr>
              <w:t>
— — others:</w:t>
            </w:r>
          </w:p>
          <w:p>
            <w:pPr>
              <w:spacing w:after="20"/>
              <w:ind w:left="20"/>
              <w:jc w:val="both"/>
            </w:pPr>
            <w:r>
              <w:rPr>
                <w:rFonts w:ascii="Times New Roman"/>
                <w:b w:val="false"/>
                <w:i w:val="false"/>
                <w:color w:val="000000"/>
                <w:sz w:val="20"/>
              </w:rPr>
              <w:t>
—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ephedra alkaloids and their derivatives; salts of these compounds:</w:t>
            </w:r>
          </w:p>
          <w:p>
            <w:pPr>
              <w:spacing w:after="20"/>
              <w:ind w:left="20"/>
              <w:jc w:val="both"/>
            </w:pPr>
            <w:r>
              <w:rPr>
                <w:rFonts w:ascii="Times New Roman"/>
                <w:b w:val="false"/>
                <w:i w:val="false"/>
                <w:color w:val="000000"/>
                <w:sz w:val="20"/>
              </w:rPr>
              <w:t>
— — pseudoephedrine (INN)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ephedra alkaloids and their derivatives; salts of these compounds:</w:t>
            </w:r>
          </w:p>
          <w:p>
            <w:pPr>
              <w:spacing w:after="20"/>
              <w:ind w:left="20"/>
              <w:jc w:val="both"/>
            </w:pPr>
            <w:r>
              <w:rPr>
                <w:rFonts w:ascii="Times New Roman"/>
                <w:b w:val="false"/>
                <w:i w:val="false"/>
                <w:color w:val="000000"/>
                <w:sz w:val="20"/>
              </w:rPr>
              <w:t>
— — cathine (INN)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ephedra alkaloids and their derivatives; salts of these compounds:</w:t>
            </w:r>
          </w:p>
          <w:p>
            <w:pPr>
              <w:spacing w:after="20"/>
              <w:ind w:left="20"/>
              <w:jc w:val="both"/>
            </w:pPr>
            <w:r>
              <w:rPr>
                <w:rFonts w:ascii="Times New Roman"/>
                <w:b w:val="false"/>
                <w:i w:val="false"/>
                <w:color w:val="000000"/>
                <w:sz w:val="20"/>
              </w:rPr>
              <w:t>
— — norephedrine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ephedra alkaloids and their derivatives; salts of these compounds:</w:t>
            </w:r>
          </w:p>
          <w:p>
            <w:pPr>
              <w:spacing w:after="20"/>
              <w:ind w:left="20"/>
              <w:jc w:val="both"/>
            </w:pPr>
            <w:r>
              <w:rPr>
                <w:rFonts w:ascii="Times New Roman"/>
                <w:b w:val="false"/>
                <w:i w:val="false"/>
                <w:color w:val="000000"/>
                <w:sz w:val="20"/>
              </w:rPr>
              <w:t>
— —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rye ergot alkaloids and their derivatives; salts of these compounds:</w:t>
            </w:r>
          </w:p>
          <w:p>
            <w:pPr>
              <w:spacing w:after="20"/>
              <w:ind w:left="20"/>
              <w:jc w:val="both"/>
            </w:pPr>
            <w:r>
              <w:rPr>
                <w:rFonts w:ascii="Times New Roman"/>
                <w:b w:val="false"/>
                <w:i w:val="false"/>
                <w:color w:val="000000"/>
                <w:sz w:val="20"/>
              </w:rPr>
              <w:t>
— — ergometrine (INN)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rye ergot alkaloids and their derivatives; salts of these compounds:</w:t>
            </w:r>
          </w:p>
          <w:p>
            <w:pPr>
              <w:spacing w:after="20"/>
              <w:ind w:left="20"/>
              <w:jc w:val="both"/>
            </w:pPr>
            <w:r>
              <w:rPr>
                <w:rFonts w:ascii="Times New Roman"/>
                <w:b w:val="false"/>
                <w:i w:val="false"/>
                <w:color w:val="000000"/>
                <w:sz w:val="20"/>
              </w:rPr>
              <w:t>
— — ergotamine (INN)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Alkaloids, natural or synthesized, their salts, simple and complex esters, and other derivatives:</w:t>
            </w:r>
          </w:p>
          <w:p>
            <w:pPr>
              <w:spacing w:after="20"/>
              <w:ind w:left="20"/>
              <w:jc w:val="both"/>
            </w:pPr>
            <w:r>
              <w:rPr>
                <w:rFonts w:ascii="Times New Roman"/>
                <w:b w:val="false"/>
                <w:i w:val="false"/>
                <w:color w:val="000000"/>
                <w:sz w:val="20"/>
              </w:rPr>
              <w:t>
— rye ergot alkaloids and their derivatives; salts of these compounds:</w:t>
            </w:r>
          </w:p>
          <w:p>
            <w:pPr>
              <w:spacing w:after="20"/>
              <w:ind w:left="20"/>
              <w:jc w:val="both"/>
            </w:pPr>
            <w:r>
              <w:rPr>
                <w:rFonts w:ascii="Times New Roman"/>
                <w:b w:val="false"/>
                <w:i w:val="false"/>
                <w:color w:val="000000"/>
                <w:sz w:val="20"/>
              </w:rPr>
              <w:t>
— — lysergic acid and its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2939630000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