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4de2" w14:textId="da14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measurements related to state regulation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Justice of the Republic of Kazakhstan dated March 14, 2019 № 122 and the Minister of Industry and Infrastructure Development of the Republic of Kazakhstan dated March 18, 2019 № 150. Registered in the Ministry of Justice of the Republic of Kazakhstan on March 20, 2019 № 18403.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2) of article 6-3 of the Law of the Republic of Kazakhstan dated June 7, 2000 "On ensuring the uniformity of measurements", </w:t>
      </w:r>
      <w:r>
        <w:rPr>
          <w:rFonts w:ascii="Times New Roman"/>
          <w:b/>
          <w:i w:val="false"/>
          <w:color w:val="000000"/>
          <w:sz w:val="28"/>
        </w:rPr>
        <w:t>WE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list of measurements related to state regulation.</w:t>
      </w:r>
    </w:p>
    <w:p>
      <w:pPr>
        <w:spacing w:after="0"/>
        <w:ind w:left="0"/>
        <w:jc w:val="both"/>
      </w:pPr>
      <w:r>
        <w:rPr>
          <w:rFonts w:ascii="Times New Roman"/>
          <w:b w:val="false"/>
          <w:i w:val="false"/>
          <w:color w:val="000000"/>
          <w:sz w:val="28"/>
        </w:rPr>
        <w:t>
      2. The Department for organization of expert activities of the Ministry of Justice of the Republic of Kazakhstan, in the manner prescribed by the legislation of the Republic of Kazakhstan, to ensure:</w:t>
      </w:r>
    </w:p>
    <w:p>
      <w:pPr>
        <w:spacing w:after="0"/>
        <w:ind w:left="0"/>
        <w:jc w:val="both"/>
      </w:pPr>
      <w:r>
        <w:rPr>
          <w:rFonts w:ascii="Times New Roman"/>
          <w:b w:val="false"/>
          <w:i w:val="false"/>
          <w:color w:val="000000"/>
          <w:sz w:val="28"/>
        </w:rPr>
        <w:t>
      1) state registration of this joint order;</w:t>
      </w:r>
    </w:p>
    <w:p>
      <w:pPr>
        <w:spacing w:after="0"/>
        <w:ind w:left="0"/>
        <w:jc w:val="both"/>
      </w:pPr>
      <w:r>
        <w:rPr>
          <w:rFonts w:ascii="Times New Roman"/>
          <w:b w:val="false"/>
          <w:i w:val="false"/>
          <w:color w:val="000000"/>
          <w:sz w:val="28"/>
        </w:rPr>
        <w:t>
      2) within ten calendar days from the date of registration of this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joint order on the Internet resource of the Ministry of Justice of the Republic of Kazakhstan.</w:t>
      </w:r>
    </w:p>
    <w:p>
      <w:pPr>
        <w:spacing w:after="0"/>
        <w:ind w:left="0"/>
        <w:jc w:val="both"/>
      </w:pPr>
      <w:r>
        <w:rPr>
          <w:rFonts w:ascii="Times New Roman"/>
          <w:b w:val="false"/>
          <w:i w:val="false"/>
          <w:color w:val="000000"/>
          <w:sz w:val="28"/>
        </w:rPr>
        <w:t xml:space="preserve">
      3. The supervising deputy minister of justice of the Republic of Kazakhstan shall be authorized to oversee the execution of this joint order. </w:t>
      </w:r>
    </w:p>
    <w:p>
      <w:pPr>
        <w:spacing w:after="0"/>
        <w:ind w:left="0"/>
        <w:jc w:val="both"/>
      </w:pPr>
      <w:r>
        <w:rPr>
          <w:rFonts w:ascii="Times New Roman"/>
          <w:b w:val="false"/>
          <w:i w:val="false"/>
          <w:color w:val="000000"/>
          <w:sz w:val="28"/>
        </w:rPr>
        <w:t xml:space="preserve">
      4. This joint order shall come into force on April 11, 2019 and shall be subject to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 __________</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Beketayev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infrastructure development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 __________</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Sklyar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joint order of the</w:t>
            </w:r>
            <w:r>
              <w:br/>
            </w:r>
            <w:r>
              <w:rPr>
                <w:rFonts w:ascii="Times New Roman"/>
                <w:b w:val="false"/>
                <w:i w:val="false"/>
                <w:color w:val="000000"/>
                <w:sz w:val="20"/>
              </w:rPr>
              <w:t>Minister of justice of the Republic</w:t>
            </w:r>
            <w:r>
              <w:br/>
            </w:r>
            <w:r>
              <w:rPr>
                <w:rFonts w:ascii="Times New Roman"/>
                <w:b w:val="false"/>
                <w:i w:val="false"/>
                <w:color w:val="000000"/>
                <w:sz w:val="20"/>
              </w:rPr>
              <w:t>of Kazakhstan dated</w:t>
            </w:r>
            <w:r>
              <w:br/>
            </w:r>
            <w:r>
              <w:rPr>
                <w:rFonts w:ascii="Times New Roman"/>
                <w:b w:val="false"/>
                <w:i w:val="false"/>
                <w:color w:val="000000"/>
                <w:sz w:val="20"/>
              </w:rPr>
              <w:t>March 14, 2019 № 122</w:t>
            </w:r>
            <w:r>
              <w:br/>
            </w:r>
            <w:r>
              <w:rPr>
                <w:rFonts w:ascii="Times New Roman"/>
                <w:b w:val="false"/>
                <w:i w:val="false"/>
                <w:color w:val="000000"/>
                <w:sz w:val="20"/>
              </w:rPr>
              <w:t>and Minister of industry and</w:t>
            </w:r>
            <w:r>
              <w:br/>
            </w:r>
            <w:r>
              <w:rPr>
                <w:rFonts w:ascii="Times New Roman"/>
                <w:b w:val="false"/>
                <w:i w:val="false"/>
                <w:color w:val="000000"/>
                <w:sz w:val="20"/>
              </w:rPr>
              <w:t>infrastructure development of the</w:t>
            </w:r>
            <w:r>
              <w:br/>
            </w:r>
            <w:r>
              <w:rPr>
                <w:rFonts w:ascii="Times New Roman"/>
                <w:b w:val="false"/>
                <w:i w:val="false"/>
                <w:color w:val="000000"/>
                <w:sz w:val="20"/>
              </w:rPr>
              <w:t>Republic of Kazakhstan dated</w:t>
            </w:r>
            <w:r>
              <w:br/>
            </w:r>
            <w:r>
              <w:rPr>
                <w:rFonts w:ascii="Times New Roman"/>
                <w:b w:val="false"/>
                <w:i w:val="false"/>
                <w:color w:val="000000"/>
                <w:sz w:val="20"/>
              </w:rPr>
              <w:t>March 18, 2019 № 150</w:t>
            </w:r>
          </w:p>
        </w:tc>
      </w:tr>
    </w:tbl>
    <w:p>
      <w:pPr>
        <w:spacing w:after="0"/>
        <w:ind w:left="0"/>
        <w:jc w:val="left"/>
      </w:pPr>
      <w:r>
        <w:rPr>
          <w:rFonts w:ascii="Times New Roman"/>
          <w:b/>
          <w:i w:val="false"/>
          <w:color w:val="000000"/>
        </w:rPr>
        <w:t xml:space="preserve"> List of measurements related to state regulation</w:t>
      </w:r>
    </w:p>
    <w:p>
      <w:pPr>
        <w:spacing w:after="0"/>
        <w:ind w:left="0"/>
        <w:jc w:val="both"/>
      </w:pPr>
      <w:r>
        <w:rPr>
          <w:rFonts w:ascii="Times New Roman"/>
          <w:b w:val="false"/>
          <w:i w:val="false"/>
          <w:color w:val="ff0000"/>
          <w:sz w:val="28"/>
        </w:rPr>
        <w:t>
      Footnote The list is in the wording of the joint order of the Minister of Justice of the Republic of Kazakhstan dated 17.02.2023 № 130 and Deputy Prime Minister - Minister of Trade and Integration of the Republic of Kazakhstan dated 20.02.2023 № 80-NK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measurements with indication of object and scope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Metrological requirements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range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permissible error or accuracy class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ambient equivalent dose of gamma and X-ray radiation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0,001 to 9999 mSv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 of gamma and X-ray radiation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0,1 to 9999 µSv ·h</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betta particles flux density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1×10 to 1×10</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particles. ·cm-1·min</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(20+200/В)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accumulation time of ambient equivalent dose of gamma and X-ray radiation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min to 100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distances between the investigated objects during forensic construction expertise and forensic fire-technical expertise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0,05 to 100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0"/>
          <w:p>
            <w:pPr>
              <w:spacing w:after="20"/>
              <w:ind w:left="20"/>
              <w:jc w:val="both"/>
            </w:pPr>
            <w:r>
              <w:rPr>
                <w:rFonts w:ascii="Times New Roman"/>
                <w:b w:val="false"/>
                <w:i w:val="false"/>
                <w:color w:val="000000"/>
                <w:sz w:val="20"/>
              </w:rPr>
              <w:t>
from 5 m: ±1,5 mm;</w:t>
            </w:r>
          </w:p>
          <w:bookmarkEnd w:id="0"/>
          <w:p>
            <w:pPr>
              <w:spacing w:after="20"/>
              <w:ind w:left="20"/>
              <w:jc w:val="both"/>
            </w:pPr>
            <w:r>
              <w:rPr>
                <w:rFonts w:ascii="Times New Roman"/>
                <w:b w:val="false"/>
                <w:i w:val="false"/>
                <w:color w:val="000000"/>
                <w:sz w:val="20"/>
              </w:rPr>
              <w:t>
</w:t>
            </w:r>
            <w:r>
              <w:rPr>
                <w:rFonts w:ascii="Times New Roman"/>
                <w:b w:val="false"/>
                <w:i w:val="false"/>
                <w:color w:val="000000"/>
                <w:sz w:val="20"/>
              </w:rPr>
              <w:t>over 5 м: ± (1,5+0,15 × (d·10</w:t>
            </w:r>
            <w:r>
              <w:rPr>
                <w:rFonts w:ascii="Times New Roman"/>
                <w:b w:val="false"/>
                <w:i w:val="false"/>
                <w:color w:val="000000"/>
                <w:vertAlign w:val="superscript"/>
              </w:rPr>
              <w:t>-3</w:t>
            </w:r>
            <w:r>
              <w:rPr>
                <w:rFonts w:ascii="Times New Roman"/>
                <w:b w:val="false"/>
                <w:i w:val="false"/>
                <w:color w:val="000000"/>
                <w:sz w:val="20"/>
              </w:rPr>
              <w:t xml:space="preserve"> – 10)) mm;</w:t>
            </w:r>
          </w:p>
          <w:p>
            <w:pPr>
              <w:spacing w:after="20"/>
              <w:ind w:left="20"/>
              <w:jc w:val="both"/>
            </w:pPr>
            <w:r>
              <w:rPr>
                <w:rFonts w:ascii="Times New Roman"/>
                <w:b w:val="false"/>
                <w:i w:val="false"/>
                <w:color w:val="000000"/>
                <w:sz w:val="20"/>
              </w:rPr>
              <w:t>
± (3,0+0,2 × (d·10</w:t>
            </w:r>
            <w:r>
              <w:rPr>
                <w:rFonts w:ascii="Times New Roman"/>
                <w:b w:val="false"/>
                <w:i w:val="false"/>
                <w:color w:val="000000"/>
                <w:vertAlign w:val="superscript"/>
              </w:rPr>
              <w:t>-3</w:t>
            </w:r>
            <w:r>
              <w:rPr>
                <w:rFonts w:ascii="Times New Roman"/>
                <w:b w:val="false"/>
                <w:i w:val="false"/>
                <w:color w:val="000000"/>
                <w:sz w:val="20"/>
              </w:rPr>
              <w:t xml:space="preserve"> – 30))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size of defects of the investigated object during the forensic construction examination,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6000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(0,1+0,005 Н)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thickness of the investigated object during forensic transological examination, forensic ballistic examination, forensic commodity examination, forensic examination of documents, forensic fire and technical examination, forensic explosive and technical examination, forensic biological examination,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25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accuracy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thickness of the protective layer of concrete during the forensic construction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90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h</w:t>
            </w:r>
            <w:r>
              <w:rPr>
                <w:rFonts w:ascii="Times New Roman"/>
                <w:b w:val="false"/>
                <w:i w:val="false"/>
                <w:color w:val="000000"/>
                <w:vertAlign w:val="subscript"/>
              </w:rPr>
              <w:t>pl</w:t>
            </w:r>
            <w:r>
              <w:rPr>
                <w:rFonts w:ascii="Times New Roman"/>
                <w:b w:val="false"/>
                <w:i w:val="false"/>
                <w:color w:val="000000"/>
                <w:sz w:val="20"/>
              </w:rPr>
              <w:t xml:space="preserve"> + 0,5)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thickness of the investigated object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0,7 to 300,0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under thickness from 0,7 to 3,0 mm ±(0,01Х+0,1); under thickness from 3,01 to 99,99 mm ±(0,01Х+0,05); under thickness from 100,0 to 300,0 mm ±(0,01Х+0,1)</w:t>
            </w:r>
          </w:p>
          <w:bookmarkEnd w:id="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dimensional characteristics of the investigated object during forensic examination of documents, forensic transological examination, forensic ballistic examination, forensic construction examination, forensic fire and technical examination, forensic explosive and technical examination, forensic examination of substances and materials and forensic medical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w:t>
            </w:r>
          </w:p>
          <w:p>
            <w:pPr>
              <w:spacing w:after="20"/>
              <w:ind w:left="20"/>
              <w:jc w:val="both"/>
            </w:pPr>
            <w:r>
              <w:rPr>
                <w:rFonts w:ascii="Times New Roman"/>
                <w:b w:val="false"/>
                <w:i w:val="false"/>
                <w:color w:val="000000"/>
                <w:sz w:val="20"/>
              </w:rPr>
              <w:t>
1000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dimensional characteristics of the investigated object in the course of forensic construction expertise, forensic transological expertise, forensic ballistic expertise, forensic fire and technical expertise, forensic explosive and technical expertise, forensic examination of the circumstances of road accidents and vehicles, forensic environmental expertise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
          <w:p>
            <w:pPr>
              <w:spacing w:after="20"/>
              <w:ind w:left="20"/>
              <w:jc w:val="both"/>
            </w:pPr>
            <w:r>
              <w:rPr>
                <w:rFonts w:ascii="Times New Roman"/>
                <w:b w:val="false"/>
                <w:i w:val="false"/>
                <w:color w:val="000000"/>
                <w:sz w:val="20"/>
              </w:rPr>
              <w:t>
from 0 to</w:t>
            </w:r>
          </w:p>
          <w:bookmarkEnd w:id="2"/>
          <w:p>
            <w:pPr>
              <w:spacing w:after="20"/>
              <w:ind w:left="20"/>
              <w:jc w:val="both"/>
            </w:pPr>
            <w:r>
              <w:rPr>
                <w:rFonts w:ascii="Times New Roman"/>
                <w:b w:val="false"/>
                <w:i w:val="false"/>
                <w:color w:val="000000"/>
                <w:sz w:val="20"/>
              </w:rPr>
              <w:t>
50000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millimeter intervals - ± 0.2 mm; centimeter intervals - ± 0.3 mm; decimeter intervals - ± 0.4 mm;</w:t>
            </w:r>
          </w:p>
          <w:bookmarkEnd w:id="3"/>
          <w:p>
            <w:pPr>
              <w:spacing w:after="20"/>
              <w:ind w:left="20"/>
              <w:jc w:val="both"/>
            </w:pPr>
            <w:r>
              <w:rPr>
                <w:rFonts w:ascii="Times New Roman"/>
                <w:b w:val="false"/>
                <w:i w:val="false"/>
                <w:color w:val="000000"/>
                <w:sz w:val="20"/>
              </w:rPr>
              <w:t>
scale segment not less than 1 m - ± (0.4 + 0.2 ∙ (L-1))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number of organic substances in mixtures during forensic examination of narcotic drugs, psychotropic substances, their analogues and precursors,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0,001 % to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RSD of output signal ± (0.2-10)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number of organic substances in mixtures during forensic examination of narcotic drugs, psychotropic substances, their analogues and precursors,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5·10</w:t>
            </w:r>
            <w:r>
              <w:rPr>
                <w:rFonts w:ascii="Times New Roman"/>
                <w:b w:val="false"/>
                <w:i w:val="false"/>
                <w:color w:val="000000"/>
                <w:vertAlign w:val="superscript"/>
              </w:rPr>
              <w:t>-12</w:t>
            </w:r>
            <w:r>
              <w:rPr>
                <w:rFonts w:ascii="Times New Roman"/>
                <w:b w:val="false"/>
                <w:i w:val="false"/>
                <w:color w:val="000000"/>
                <w:sz w:val="20"/>
              </w:rPr>
              <w:t xml:space="preserve"> to 1·10</w:t>
            </w:r>
            <w:r>
              <w:rPr>
                <w:rFonts w:ascii="Times New Roman"/>
                <w:b w:val="false"/>
                <w:i w:val="false"/>
                <w:color w:val="000000"/>
                <w:vertAlign w:val="superscript"/>
              </w:rPr>
              <w:t>-5</w:t>
            </w:r>
            <w:r>
              <w:rPr>
                <w:rFonts w:ascii="Times New Roman"/>
                <w:b w:val="false"/>
                <w:i w:val="false"/>
                <w:color w:val="000000"/>
                <w:sz w:val="20"/>
              </w:rPr>
              <w:t xml:space="preserve">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RSD of output signal ± (0,2-10)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number of microcomponents in alcohol-containing liquids, as well as in identification and quantitative studies of narcotic drugs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0,001 % to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number of high molecular weight organic substances in mixtures during forensic examination of substances and materials, chemical-toxic examination, forensic examination of narcotic drugs, psychotropic substances, their analogues and precursors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0,001 % to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RSD of output signal ± (0,2-10)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volume fraction of ethyl alcohol in the production of forensic commodity expertise,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 to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density of liquids and solutions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700 to 1840 kg/m</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kg/m</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elemental composition of aqueous solutions and materials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165 to 900 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amount of fluid in the production of forensic examinations and specialized studies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5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amount of fluid in the production of forensic examinations and specialized studies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20 to 200 ml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amount of fluid in the production of forensic examinations and specialized studies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0,5 to 10 µL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of the investigated object during the forensic examination of substances and materials, forensic examination of narcotic drugs, psychotropic substances, their analogues and precursors, forensic transological examination, forensic commodity examination, forensic fire and technical examination, forensic explosive and technical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0,01 to 1500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accuracy class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of the investigated object during forensic examination of substances and materials, forensic examination of narcotic drugs, psychotropic substances, their analogues and precursors, forensic transological examination, forensic ballistic examination, forensic biological examination, forensic explosive and technical examination, forensic environmental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0,0001 to 210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accuracy class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of the investigated object during forensic examination of narcotic drugs, psychotropic substances, their analogues and precursors, forensic commodity expertise, forensic examination of substances and materials, forensic biological expertise, forensic explosive-technical expertise, forensic fire-technical expertise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0,02 to 30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accuracy class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of the investigated object during medical and forensic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0,1 to 5000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accuracy class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of the investigated object during the forensic medical examination based on the materials of criminal, civil and administrative cases, corpses, victims, accused and other individuals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0,001 to 1000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accuracy class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of the investigated object during the forensic explosion-technical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0,1 to 100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accuracy class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quantitative content of sugars in liquids during the forensic examination of materials and substances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below 60 to 140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liquid volume during forensic examination of narcotic drugs, psychotropic substances, their analogues and precursors, forensic molecular genetic examination, medical-forensic and chemical-toxicological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0.5 to 10 µL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liquid volume during forensic examination of narcotic drugs, psychotropic substances, their analogues and precursors, forensic molecular genetic examination, medical-forensic and chemical-toxicological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100 µL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liquid volume during forensic examination of narcotic drugs, psychotropic substances, their analogues and precursors, forensic molecular genetic examination, medical-forensic and chemical-toxicological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4"/>
          <w:p>
            <w:pPr>
              <w:spacing w:after="20"/>
              <w:ind w:left="20"/>
              <w:jc w:val="both"/>
            </w:pPr>
            <w:r>
              <w:rPr>
                <w:rFonts w:ascii="Times New Roman"/>
                <w:b w:val="false"/>
                <w:i w:val="false"/>
                <w:color w:val="000000"/>
                <w:sz w:val="20"/>
              </w:rPr>
              <w:t>
from 20 to 200 µL;</w:t>
            </w:r>
          </w:p>
          <w:bookmarkEnd w:id="4"/>
          <w:p>
            <w:pPr>
              <w:spacing w:after="20"/>
              <w:ind w:left="20"/>
              <w:jc w:val="both"/>
            </w:pPr>
            <w:r>
              <w:rPr>
                <w:rFonts w:ascii="Times New Roman"/>
                <w:b w:val="false"/>
                <w:i w:val="false"/>
                <w:color w:val="000000"/>
                <w:sz w:val="20"/>
              </w:rPr>
              <w:t>
from 30 to 300 µL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volume of liquid during the forensic examination of substances and materials and specialized studies, forensic examination of narcotic drugs, psychotropic substances, their analogues and precursors, forensic molecular genetic examination, forensic commodity examination, medical-forensic and chemical toxicological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5"/>
          <w:p>
            <w:pPr>
              <w:spacing w:after="20"/>
              <w:ind w:left="20"/>
              <w:jc w:val="both"/>
            </w:pPr>
            <w:r>
              <w:rPr>
                <w:rFonts w:ascii="Times New Roman"/>
                <w:b w:val="false"/>
                <w:i w:val="false"/>
                <w:color w:val="000000"/>
                <w:sz w:val="20"/>
              </w:rPr>
              <w:t>
(100 - 1000) µL</w:t>
            </w:r>
          </w:p>
          <w:bookmarkEnd w:id="5"/>
          <w:p>
            <w:pPr>
              <w:spacing w:after="20"/>
              <w:ind w:left="20"/>
              <w:jc w:val="both"/>
            </w:pPr>
            <w:r>
              <w:rPr>
                <w:rFonts w:ascii="Times New Roman"/>
                <w:b w:val="false"/>
                <w:i w:val="false"/>
                <w:color w:val="000000"/>
                <w:sz w:val="20"/>
              </w:rPr>
              <w:t>
(500-5000) µL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melting point of pure substances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°С to 400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temperature of objects and liquids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below 20 ºС to 120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steady-state deceleration during forensic examination of the circumstances of road accidents and vehicles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9,81 m/s</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pedal pressure during forensic examination of the circumstances of road accidents and vehicles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98 to 980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time interval during forensic video phonographic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s to 30 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cellular concrete strength during construction forensic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6"/>
          <w:p>
            <w:pPr>
              <w:spacing w:after="20"/>
              <w:ind w:left="20"/>
              <w:jc w:val="both"/>
            </w:pPr>
            <w:r>
              <w:rPr>
                <w:rFonts w:ascii="Times New Roman"/>
                <w:b w:val="false"/>
                <w:i w:val="false"/>
                <w:color w:val="000000"/>
                <w:sz w:val="20"/>
              </w:rPr>
              <w:t>
from 0,1 to 2,0 kN</w:t>
            </w:r>
          </w:p>
          <w:bookmarkEnd w:id="6"/>
          <w:p>
            <w:pPr>
              <w:spacing w:after="20"/>
              <w:ind w:left="20"/>
              <w:jc w:val="both"/>
            </w:pPr>
            <w:r>
              <w:rPr>
                <w:rFonts w:ascii="Times New Roman"/>
                <w:b w:val="false"/>
                <w:i w:val="false"/>
                <w:color w:val="000000"/>
                <w:sz w:val="20"/>
              </w:rPr>
              <w:t>
from 0,5 to 8,0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concrete strength during construction forensic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100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amplitude and frequency of variable electrical signals for personal identification and identification of signs of recording installation during forensic video-phonographic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to 20000 Hz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pH value of the investigated object during forensic biological, forensic and chemical-toxicological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14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cloud and solidification temperature of substances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below 80 °С to 50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limit temperature of filterability of substances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below 70 °С to 50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elemental composition of analysed objects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Na (11) to U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RSD ± 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optical transmission spectra, reflections of test samples in the infrared range during analysis of organic and inorganic substances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370 to 9000 cm</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(0,01-0,25) cm</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transmittance and absorbance of the test samples in the ultraviolet and visible regions during the analysis of organic and inorganic substances during the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7"/>
          <w:p>
            <w:pPr>
              <w:spacing w:after="20"/>
              <w:ind w:left="20"/>
              <w:jc w:val="both"/>
            </w:pPr>
            <w:r>
              <w:rPr>
                <w:rFonts w:ascii="Times New Roman"/>
                <w:b w:val="false"/>
                <w:i w:val="false"/>
                <w:color w:val="000000"/>
                <w:sz w:val="20"/>
              </w:rPr>
              <w:t>
from 198 to 1000 nm;</w:t>
            </w:r>
          </w:p>
          <w:bookmarkEnd w:id="7"/>
          <w:p>
            <w:pPr>
              <w:spacing w:after="20"/>
              <w:ind w:left="20"/>
              <w:jc w:val="both"/>
            </w:pPr>
            <w:r>
              <w:rPr>
                <w:rFonts w:ascii="Times New Roman"/>
                <w:b w:val="false"/>
                <w:i w:val="false"/>
                <w:color w:val="000000"/>
                <w:sz w:val="20"/>
              </w:rPr>
              <w:t>
(0-99,9) %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nm;</w:t>
            </w:r>
          </w:p>
          <w:p>
            <w:pPr>
              <w:spacing w:after="20"/>
              <w:ind w:left="20"/>
              <w:jc w:val="both"/>
            </w:pPr>
            <w:r>
              <w:rPr>
                <w:rFonts w:ascii="Times New Roman"/>
                <w:b w:val="false"/>
                <w:i w:val="false"/>
                <w:color w:val="000000"/>
                <w:sz w:val="20"/>
              </w:rPr>
              <w:t>
±2 %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ethanol concentration in the production of forensic biological, medical-forensic and chemical-toxicological expertise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8"/>
          <w:p>
            <w:pPr>
              <w:spacing w:after="20"/>
              <w:ind w:left="20"/>
              <w:jc w:val="both"/>
            </w:pPr>
            <w:r>
              <w:rPr>
                <w:rFonts w:ascii="Times New Roman"/>
                <w:b w:val="false"/>
                <w:i w:val="false"/>
                <w:color w:val="000000"/>
                <w:sz w:val="20"/>
              </w:rPr>
              <w:t>
from 0,1 to 0,5 mg/l;</w:t>
            </w:r>
          </w:p>
          <w:bookmarkEnd w:id="8"/>
          <w:p>
            <w:pPr>
              <w:spacing w:after="20"/>
              <w:ind w:left="20"/>
              <w:jc w:val="both"/>
            </w:pPr>
            <w:r>
              <w:rPr>
                <w:rFonts w:ascii="Times New Roman"/>
                <w:b w:val="false"/>
                <w:i w:val="false"/>
                <w:color w:val="000000"/>
                <w:sz w:val="20"/>
              </w:rPr>
              <w:t>
from 0,5 to 5 mg/l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mg/l;</w:t>
            </w:r>
          </w:p>
          <w:p>
            <w:pPr>
              <w:spacing w:after="20"/>
              <w:ind w:left="20"/>
              <w:jc w:val="both"/>
            </w:pPr>
            <w:r>
              <w:rPr>
                <w:rFonts w:ascii="Times New Roman"/>
                <w:b w:val="false"/>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content of oil and petroleum products in soil samples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100 mg/ dm</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dynamic and kinematic viscosity of oil and petroleum products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6·10-7 to 3·10-2 m</w:t>
            </w:r>
            <w:r>
              <w:rPr>
                <w:rFonts w:ascii="Times New Roman"/>
                <w:b w:val="false"/>
                <w:i w:val="false"/>
                <w:color w:val="000000"/>
                <w:vertAlign w:val="superscript"/>
              </w:rPr>
              <w:t>2</w:t>
            </w:r>
            <w:r>
              <w:rPr>
                <w:rFonts w:ascii="Times New Roman"/>
                <w:b w:val="false"/>
                <w:i w:val="false"/>
                <w:color w:val="000000"/>
                <w:sz w:val="20"/>
              </w:rPr>
              <w: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total acid, base, iodine number in oil and petroleum products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From below 20 to 20 рH</w:t>
            </w:r>
          </w:p>
          <w:bookmarkEnd w:id="9"/>
          <w:p>
            <w:pPr>
              <w:spacing w:after="20"/>
              <w:ind w:left="20"/>
              <w:jc w:val="both"/>
            </w:pPr>
            <w:r>
              <w:rPr>
                <w:rFonts w:ascii="Times New Roman"/>
                <w:b w:val="false"/>
                <w:i w:val="false"/>
                <w:color w:val="000000"/>
                <w:sz w:val="20"/>
              </w:rPr>
              <w:t>
from 0 to 14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water content in oil and petroleum products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fraction of sulphur in petroleum products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5.0%</w:t>
            </w:r>
          </w:p>
          <w:p>
            <w:pPr>
              <w:spacing w:after="20"/>
              <w:ind w:left="20"/>
              <w:jc w:val="both"/>
            </w:pPr>
            <w:r>
              <w:rPr>
                <w:rFonts w:ascii="Times New Roman"/>
                <w:b w:val="false"/>
                <w:i w:val="false"/>
                <w:color w:val="000000"/>
                <w:sz w:val="20"/>
              </w:rPr>
              <w:t>
limit of detection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RSD of output signal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fraction of chlorine in petroleum products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from 0 to 1.0%</w:t>
            </w:r>
          </w:p>
          <w:bookmarkEnd w:id="10"/>
          <w:p>
            <w:pPr>
              <w:spacing w:after="20"/>
              <w:ind w:left="20"/>
              <w:jc w:val="both"/>
            </w:pPr>
            <w:r>
              <w:rPr>
                <w:rFonts w:ascii="Times New Roman"/>
                <w:b w:val="false"/>
                <w:i w:val="false"/>
                <w:color w:val="000000"/>
                <w:sz w:val="20"/>
              </w:rPr>
              <w:t>
detection limit 0.5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RSD of output signal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refractive index of anti-icing fluids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1,72) N</w:t>
            </w:r>
            <w:r>
              <w:rPr>
                <w:rFonts w:ascii="Times New Roman"/>
                <w:b w:val="false"/>
                <w:i w:val="false"/>
                <w:color w:val="000000"/>
                <w:vertAlign w:val="subscript"/>
              </w:rPr>
              <w: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0,00005 N</w:t>
            </w:r>
            <w:r>
              <w:rPr>
                <w:rFonts w:ascii="Times New Roman"/>
                <w:b w:val="false"/>
                <w:i w:val="false"/>
                <w:color w:val="000000"/>
                <w:vertAlign w:val="subscript"/>
              </w:rPr>
              <w: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humidity of the investigated object in the course of construction forensic examination,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4 % to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detonation resistance of petroleum products during forensic examination of substances and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70 to 98 ед. uON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uON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ambient temperature during forensic examination of substances and materials, forensic examination of narcotic drugs, psychotropic substances, their analogues and precursors, forensic molecular genetic examination, forensic biological, medical-forensic and chemical-toxicological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below 40 °С to 85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relative humidity of the ambient air during the forensic examination of substances and materials, forensic examination of narcotic drugs, psychotropic substances, their analogues and precursors, forensic molecular genetic examination, forensic biological, medical-forensic and chemical-toxicological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 to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atmospheric pressure during forensic examination of substances and materials, forensic examination of narcotic drugs, psychotropic substances, their analogues and precursors, forensic molecular genetic examination, forensic biological, medical-forensic and chemical-toxicological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110) kPa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kPa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11"/>
    <w:p>
      <w:pPr>
        <w:spacing w:after="0"/>
        <w:ind w:left="0"/>
        <w:jc w:val="both"/>
      </w:pPr>
      <w:r>
        <w:rPr>
          <w:rFonts w:ascii="Times New Roman"/>
          <w:b w:val="false"/>
          <w:i w:val="false"/>
          <w:color w:val="000000"/>
          <w:sz w:val="28"/>
        </w:rPr>
        <w:t>
      Note:</w:t>
      </w:r>
    </w:p>
    <w:bookmarkEnd w:id="11"/>
    <w:p>
      <w:pPr>
        <w:spacing w:after="0"/>
        <w:ind w:left="0"/>
        <w:jc w:val="both"/>
      </w:pPr>
      <w:r>
        <w:rPr>
          <w:rFonts w:ascii="Times New Roman"/>
          <w:b w:val="false"/>
          <w:i w:val="false"/>
          <w:color w:val="000000"/>
          <w:sz w:val="28"/>
        </w:rPr>
        <w:t>
      mSv - millisievert;</w:t>
      </w:r>
    </w:p>
    <w:p>
      <w:pPr>
        <w:spacing w:after="0"/>
        <w:ind w:left="0"/>
        <w:jc w:val="both"/>
      </w:pPr>
      <w:r>
        <w:rPr>
          <w:rFonts w:ascii="Times New Roman"/>
          <w:b w:val="false"/>
          <w:i w:val="false"/>
          <w:color w:val="000000"/>
          <w:sz w:val="28"/>
        </w:rPr>
        <w:t>
      EDR - ambient equivalent dose rate of gamma and X-ray radiation;</w:t>
      </w:r>
    </w:p>
    <w:p>
      <w:pPr>
        <w:spacing w:after="0"/>
        <w:ind w:left="0"/>
        <w:jc w:val="both"/>
      </w:pPr>
      <w:r>
        <w:rPr>
          <w:rFonts w:ascii="Times New Roman"/>
          <w:b w:val="false"/>
          <w:i w:val="false"/>
          <w:color w:val="000000"/>
          <w:sz w:val="28"/>
        </w:rPr>
        <w:t>
      µSv· h-1 - micro-Sievert per hour;</w:t>
      </w:r>
    </w:p>
    <w:p>
      <w:pPr>
        <w:spacing w:after="0"/>
        <w:ind w:left="0"/>
        <w:jc w:val="both"/>
      </w:pPr>
      <w:r>
        <w:rPr>
          <w:rFonts w:ascii="Times New Roman"/>
          <w:b w:val="false"/>
          <w:i w:val="false"/>
          <w:color w:val="000000"/>
          <w:sz w:val="28"/>
        </w:rPr>
        <w:t xml:space="preserve">
      N is a dimensionless value numerically equal to the measured EDR value in </w:t>
      </w:r>
      <w:r>
        <w:rPr>
          <w:rFonts w:ascii="Times New Roman"/>
          <w:b w:val="false"/>
          <w:i w:val="false"/>
          <w:color w:val="000000"/>
          <w:sz w:val="28"/>
        </w:rPr>
        <w:t>m</w:t>
      </w:r>
      <w:r>
        <w:rPr>
          <w:rFonts w:ascii="Times New Roman"/>
          <w:b w:val="false"/>
          <w:i w:val="false"/>
          <w:color w:val="000000"/>
          <w:sz w:val="28"/>
        </w:rPr>
        <w:t>3v/h-1;</w:t>
      </w:r>
    </w:p>
    <w:p>
      <w:pPr>
        <w:spacing w:after="0"/>
        <w:ind w:left="0"/>
        <w:jc w:val="both"/>
      </w:pPr>
      <w:r>
        <w:rPr>
          <w:rFonts w:ascii="Times New Roman"/>
          <w:b w:val="false"/>
          <w:i w:val="false"/>
          <w:color w:val="000000"/>
          <w:sz w:val="28"/>
        </w:rPr>
        <w:t>
      В - dimensionless value numerically equal to the measured density value</w:t>
      </w:r>
    </w:p>
    <w:p>
      <w:pPr>
        <w:spacing w:after="0"/>
        <w:ind w:left="0"/>
        <w:jc w:val="both"/>
      </w:pPr>
      <w:r>
        <w:rPr>
          <w:rFonts w:ascii="Times New Roman"/>
          <w:b w:val="false"/>
          <w:i w:val="false"/>
          <w:color w:val="000000"/>
          <w:sz w:val="28"/>
        </w:rPr>
        <w:t>
      betta particle flow in cm-1·min-1;</w:t>
      </w:r>
    </w:p>
    <w:p>
      <w:pPr>
        <w:spacing w:after="0"/>
        <w:ind w:left="0"/>
        <w:jc w:val="both"/>
      </w:pPr>
      <w:r>
        <w:rPr>
          <w:rFonts w:ascii="Times New Roman"/>
          <w:b w:val="false"/>
          <w:i w:val="false"/>
          <w:color w:val="000000"/>
          <w:sz w:val="28"/>
        </w:rPr>
        <w:t>
      d - measured distance, mm;</w:t>
      </w:r>
    </w:p>
    <w:p>
      <w:pPr>
        <w:spacing w:after="0"/>
        <w:ind w:left="0"/>
        <w:jc w:val="both"/>
      </w:pPr>
      <w:r>
        <w:rPr>
          <w:rFonts w:ascii="Times New Roman"/>
          <w:b w:val="false"/>
          <w:i w:val="false"/>
          <w:color w:val="000000"/>
          <w:sz w:val="28"/>
        </w:rPr>
        <w:t>
      part cm-1· min-1 - particle per centimetre minus the first degree per minute minus the first degree;</w:t>
      </w:r>
    </w:p>
    <w:p>
      <w:pPr>
        <w:spacing w:after="0"/>
        <w:ind w:left="0"/>
        <w:jc w:val="both"/>
      </w:pPr>
      <w:r>
        <w:rPr>
          <w:rFonts w:ascii="Times New Roman"/>
          <w:b w:val="false"/>
          <w:i w:val="false"/>
          <w:color w:val="000000"/>
          <w:sz w:val="28"/>
        </w:rPr>
        <w:t>
      h - hour;</w:t>
      </w:r>
    </w:p>
    <w:p>
      <w:pPr>
        <w:spacing w:after="0"/>
        <w:ind w:left="0"/>
        <w:jc w:val="both"/>
      </w:pPr>
      <w:r>
        <w:rPr>
          <w:rFonts w:ascii="Times New Roman"/>
          <w:b w:val="false"/>
          <w:i w:val="false"/>
          <w:color w:val="000000"/>
          <w:sz w:val="28"/>
        </w:rPr>
        <w:t>
      min - minute;</w:t>
      </w:r>
    </w:p>
    <w:p>
      <w:pPr>
        <w:spacing w:after="0"/>
        <w:ind w:left="0"/>
        <w:jc w:val="both"/>
      </w:pPr>
      <w:r>
        <w:rPr>
          <w:rFonts w:ascii="Times New Roman"/>
          <w:b w:val="false"/>
          <w:i w:val="false"/>
          <w:color w:val="000000"/>
          <w:sz w:val="28"/>
        </w:rPr>
        <w:t>
      s - second;</w:t>
      </w:r>
    </w:p>
    <w:p>
      <w:pPr>
        <w:spacing w:after="0"/>
        <w:ind w:left="0"/>
        <w:jc w:val="both"/>
      </w:pPr>
      <w:r>
        <w:rPr>
          <w:rFonts w:ascii="Times New Roman"/>
          <w:b w:val="false"/>
          <w:i w:val="false"/>
          <w:color w:val="000000"/>
          <w:sz w:val="28"/>
        </w:rPr>
        <w:t>
      m - meter;</w:t>
      </w:r>
    </w:p>
    <w:p>
      <w:pPr>
        <w:spacing w:after="0"/>
        <w:ind w:left="0"/>
        <w:jc w:val="both"/>
      </w:pPr>
      <w:r>
        <w:rPr>
          <w:rFonts w:ascii="Times New Roman"/>
          <w:b w:val="false"/>
          <w:i w:val="false"/>
          <w:color w:val="000000"/>
          <w:sz w:val="28"/>
        </w:rPr>
        <w:t>
      mm - millimetre;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m - micrometre;</w:t>
      </w:r>
    </w:p>
    <w:p>
      <w:pPr>
        <w:spacing w:after="0"/>
        <w:ind w:left="0"/>
        <w:jc w:val="both"/>
      </w:pPr>
      <w:r>
        <w:rPr>
          <w:rFonts w:ascii="Times New Roman"/>
          <w:b w:val="false"/>
          <w:i w:val="false"/>
          <w:color w:val="000000"/>
          <w:sz w:val="28"/>
        </w:rPr>
        <w:t>
      nm - nanometre;</w:t>
      </w:r>
    </w:p>
    <w:p>
      <w:pPr>
        <w:spacing w:after="0"/>
        <w:ind w:left="0"/>
        <w:jc w:val="both"/>
      </w:pPr>
      <w:r>
        <w:rPr>
          <w:rFonts w:ascii="Times New Roman"/>
          <w:b w:val="false"/>
          <w:i w:val="false"/>
          <w:color w:val="000000"/>
          <w:sz w:val="28"/>
        </w:rPr>
        <w:t>
      m/s2 - meter per second squared;</w:t>
      </w:r>
    </w:p>
    <w:p>
      <w:pPr>
        <w:spacing w:after="0"/>
        <w:ind w:left="0"/>
        <w:jc w:val="both"/>
      </w:pPr>
      <w:r>
        <w:rPr>
          <w:rFonts w:ascii="Times New Roman"/>
          <w:b w:val="false"/>
          <w:i w:val="false"/>
          <w:color w:val="000000"/>
          <w:sz w:val="28"/>
        </w:rPr>
        <w:t>
      m2/s - meter squared per second;</w:t>
      </w:r>
    </w:p>
    <w:p>
      <w:pPr>
        <w:spacing w:after="0"/>
        <w:ind w:left="0"/>
        <w:jc w:val="both"/>
      </w:pPr>
      <w:r>
        <w:rPr>
          <w:rFonts w:ascii="Times New Roman"/>
          <w:b w:val="false"/>
          <w:i w:val="false"/>
          <w:color w:val="000000"/>
          <w:sz w:val="28"/>
        </w:rPr>
        <w:t>
      kg - kilogram;</w:t>
      </w:r>
    </w:p>
    <w:p>
      <w:pPr>
        <w:spacing w:after="0"/>
        <w:ind w:left="0"/>
        <w:jc w:val="both"/>
      </w:pPr>
      <w:r>
        <w:rPr>
          <w:rFonts w:ascii="Times New Roman"/>
          <w:b w:val="false"/>
          <w:i w:val="false"/>
          <w:color w:val="000000"/>
          <w:sz w:val="28"/>
        </w:rPr>
        <w:t>
      high accuracy class - Interstate standard (hereinafter referred to as the State standard) 24104-2001</w:t>
      </w:r>
    </w:p>
    <w:p>
      <w:pPr>
        <w:spacing w:after="0"/>
        <w:ind w:left="0"/>
        <w:jc w:val="both"/>
      </w:pPr>
      <w:r>
        <w:rPr>
          <w:rFonts w:ascii="Times New Roman"/>
          <w:b w:val="false"/>
          <w:i w:val="false"/>
          <w:color w:val="000000"/>
          <w:sz w:val="28"/>
        </w:rPr>
        <w:t>
      "Laboratory scales. General technical requirements ";</w:t>
      </w:r>
    </w:p>
    <w:p>
      <w:pPr>
        <w:spacing w:after="0"/>
        <w:ind w:left="0"/>
        <w:jc w:val="both"/>
      </w:pPr>
      <w:r>
        <w:rPr>
          <w:rFonts w:ascii="Times New Roman"/>
          <w:b w:val="false"/>
          <w:i w:val="false"/>
          <w:color w:val="000000"/>
          <w:sz w:val="28"/>
        </w:rPr>
        <w:t>
      special accuracy class - State standard 24104-2001 "Laboratory scales.</w:t>
      </w:r>
    </w:p>
    <w:p>
      <w:pPr>
        <w:spacing w:after="0"/>
        <w:ind w:left="0"/>
        <w:jc w:val="both"/>
      </w:pPr>
      <w:r>
        <w:rPr>
          <w:rFonts w:ascii="Times New Roman"/>
          <w:b w:val="false"/>
          <w:i w:val="false"/>
          <w:color w:val="000000"/>
          <w:sz w:val="28"/>
        </w:rPr>
        <w:t>
      General technical requirements ";</w:t>
      </w:r>
    </w:p>
    <w:p>
      <w:pPr>
        <w:spacing w:after="0"/>
        <w:ind w:left="0"/>
        <w:jc w:val="both"/>
      </w:pPr>
      <w:r>
        <w:rPr>
          <w:rFonts w:ascii="Times New Roman"/>
          <w:b w:val="false"/>
          <w:i w:val="false"/>
          <w:color w:val="000000"/>
          <w:sz w:val="28"/>
        </w:rPr>
        <w:t>
      average accuracy class - State standard 24104-2001 "Laboratory scales. General technical requirements ";</w:t>
      </w:r>
    </w:p>
    <w:p>
      <w:pPr>
        <w:spacing w:after="0"/>
        <w:ind w:left="0"/>
        <w:jc w:val="both"/>
      </w:pPr>
      <w:r>
        <w:rPr>
          <w:rFonts w:ascii="Times New Roman"/>
          <w:b w:val="false"/>
          <w:i w:val="false"/>
          <w:color w:val="000000"/>
          <w:sz w:val="28"/>
        </w:rPr>
        <w:t>
      accuracy class 1 - State standard 16920-93 "Thermometers and temperature transducers</w:t>
      </w:r>
    </w:p>
    <w:p>
      <w:pPr>
        <w:spacing w:after="0"/>
        <w:ind w:left="0"/>
        <w:jc w:val="both"/>
      </w:pPr>
      <w:r>
        <w:rPr>
          <w:rFonts w:ascii="Times New Roman"/>
          <w:b w:val="false"/>
          <w:i w:val="false"/>
          <w:color w:val="000000"/>
          <w:sz w:val="28"/>
        </w:rPr>
        <w:t>
      manometric. General technical requirements and test methods ";</w:t>
      </w:r>
    </w:p>
    <w:p>
      <w:pPr>
        <w:spacing w:after="0"/>
        <w:ind w:left="0"/>
        <w:jc w:val="both"/>
      </w:pPr>
      <w:r>
        <w:rPr>
          <w:rFonts w:ascii="Times New Roman"/>
          <w:b w:val="false"/>
          <w:i w:val="false"/>
          <w:color w:val="000000"/>
          <w:sz w:val="28"/>
        </w:rPr>
        <w:t>
      accuracy class 2 - State standard 166-89 "Calipers. Specifications ";</w:t>
      </w:r>
    </w:p>
    <w:p>
      <w:pPr>
        <w:spacing w:after="0"/>
        <w:ind w:left="0"/>
        <w:jc w:val="both"/>
      </w:pPr>
      <w:r>
        <w:rPr>
          <w:rFonts w:ascii="Times New Roman"/>
          <w:b w:val="false"/>
          <w:i w:val="false"/>
          <w:color w:val="000000"/>
          <w:sz w:val="28"/>
        </w:rPr>
        <w:t>
      accuracy class 3 - second scale capacity - 60 s, division value - 0.2 s;</w:t>
      </w:r>
    </w:p>
    <w:p>
      <w:pPr>
        <w:spacing w:after="0"/>
        <w:ind w:left="0"/>
        <w:jc w:val="both"/>
      </w:pPr>
      <w:r>
        <w:rPr>
          <w:rFonts w:ascii="Times New Roman"/>
          <w:b w:val="false"/>
          <w:i w:val="false"/>
          <w:color w:val="000000"/>
          <w:sz w:val="28"/>
        </w:rPr>
        <w:t>
      capacity of minute scale - 30 min, division value - 1 min;</w:t>
      </w:r>
    </w:p>
    <w:p>
      <w:pPr>
        <w:spacing w:after="0"/>
        <w:ind w:left="0"/>
        <w:jc w:val="both"/>
      </w:pPr>
      <w:r>
        <w:rPr>
          <w:rFonts w:ascii="Times New Roman"/>
          <w:b w:val="false"/>
          <w:i w:val="false"/>
          <w:color w:val="000000"/>
          <w:sz w:val="28"/>
        </w:rPr>
        <w:t>
      g - gram;</w:t>
      </w:r>
    </w:p>
    <w:p>
      <w:pPr>
        <w:spacing w:after="0"/>
        <w:ind w:left="0"/>
        <w:jc w:val="both"/>
      </w:pPr>
      <w:r>
        <w:rPr>
          <w:rFonts w:ascii="Times New Roman"/>
          <w:b w:val="false"/>
          <w:i w:val="false"/>
          <w:color w:val="000000"/>
          <w:sz w:val="28"/>
        </w:rPr>
        <w:t>
      mg - milligram;</w:t>
      </w:r>
    </w:p>
    <w:p>
      <w:pPr>
        <w:spacing w:after="0"/>
        <w:ind w:left="0"/>
        <w:jc w:val="both"/>
      </w:pPr>
      <w:r>
        <w:rPr>
          <w:rFonts w:ascii="Times New Roman"/>
          <w:b w:val="false"/>
          <w:i w:val="false"/>
          <w:color w:val="000000"/>
          <w:sz w:val="28"/>
        </w:rPr>
        <w:t>
      mg/kg - milligram per kilogram;</w:t>
      </w:r>
    </w:p>
    <w:p>
      <w:pPr>
        <w:spacing w:after="0"/>
        <w:ind w:left="0"/>
        <w:jc w:val="both"/>
      </w:pPr>
      <w:r>
        <w:rPr>
          <w:rFonts w:ascii="Times New Roman"/>
          <w:b w:val="false"/>
          <w:i w:val="false"/>
          <w:color w:val="000000"/>
          <w:sz w:val="28"/>
        </w:rPr>
        <w:t>
      kg/m3 - kilogram per meter in cubic meters;</w:t>
      </w:r>
    </w:p>
    <w:p>
      <w:pPr>
        <w:spacing w:after="0"/>
        <w:ind w:left="0"/>
        <w:jc w:val="both"/>
      </w:pPr>
      <w:r>
        <w:rPr>
          <w:rFonts w:ascii="Times New Roman"/>
          <w:b w:val="false"/>
          <w:i w:val="false"/>
          <w:color w:val="000000"/>
          <w:sz w:val="28"/>
        </w:rPr>
        <w:t>
      ml - millilitre;</w:t>
      </w:r>
    </w:p>
    <w:p>
      <w:pPr>
        <w:spacing w:after="0"/>
        <w:ind w:left="0"/>
        <w:jc w:val="both"/>
      </w:pPr>
      <w:r>
        <w:rPr>
          <w:rFonts w:ascii="Times New Roman"/>
          <w:b w:val="false"/>
          <w:i w:val="false"/>
          <w:color w:val="000000"/>
          <w:sz w:val="28"/>
        </w:rPr>
        <w:t>
      µL - microliter;</w:t>
      </w:r>
    </w:p>
    <w:p>
      <w:pPr>
        <w:spacing w:after="0"/>
        <w:ind w:left="0"/>
        <w:jc w:val="both"/>
      </w:pPr>
      <w:r>
        <w:rPr>
          <w:rFonts w:ascii="Times New Roman"/>
          <w:b w:val="false"/>
          <w:i w:val="false"/>
          <w:color w:val="000000"/>
          <w:sz w:val="28"/>
        </w:rPr>
        <w:t>
      mg/l - milligram per litre;</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pl</w:t>
      </w:r>
      <w:r>
        <w:rPr>
          <w:rFonts w:ascii="Times New Roman"/>
          <w:b w:val="false"/>
          <w:i w:val="false"/>
          <w:color w:val="000000"/>
          <w:sz w:val="28"/>
        </w:rPr>
        <w:t xml:space="preserve"> - measured thickness of the protective concrete layer;</w:t>
      </w:r>
    </w:p>
    <w:p>
      <w:pPr>
        <w:spacing w:after="0"/>
        <w:ind w:left="0"/>
        <w:jc w:val="both"/>
      </w:pPr>
      <w:r>
        <w:rPr>
          <w:rFonts w:ascii="Times New Roman"/>
          <w:b w:val="false"/>
          <w:i w:val="false"/>
          <w:color w:val="000000"/>
          <w:sz w:val="28"/>
        </w:rPr>
        <w:t>
      Х - thickness of the test object;</w:t>
      </w:r>
    </w:p>
    <w:p>
      <w:pPr>
        <w:spacing w:after="0"/>
        <w:ind w:left="0"/>
        <w:jc w:val="both"/>
      </w:pPr>
      <w:r>
        <w:rPr>
          <w:rFonts w:ascii="Times New Roman"/>
          <w:b w:val="false"/>
          <w:i w:val="false"/>
          <w:color w:val="000000"/>
          <w:sz w:val="28"/>
        </w:rPr>
        <w:t>
      L - the number of full and incomplete meters in the segment;</w:t>
      </w:r>
    </w:p>
    <w:p>
      <w:pPr>
        <w:spacing w:after="0"/>
        <w:ind w:left="0"/>
        <w:jc w:val="both"/>
      </w:pPr>
      <w:r>
        <w:rPr>
          <w:rFonts w:ascii="Times New Roman"/>
          <w:b w:val="false"/>
          <w:i w:val="false"/>
          <w:color w:val="000000"/>
          <w:sz w:val="28"/>
        </w:rPr>
        <w:t>
      ° S - sugar degree;</w:t>
      </w:r>
    </w:p>
    <w:p>
      <w:pPr>
        <w:spacing w:after="0"/>
        <w:ind w:left="0"/>
        <w:jc w:val="both"/>
      </w:pPr>
      <w:r>
        <w:rPr>
          <w:rFonts w:ascii="Times New Roman"/>
          <w:b w:val="false"/>
          <w:i w:val="false"/>
          <w:color w:val="000000"/>
          <w:sz w:val="28"/>
        </w:rPr>
        <w:t xml:space="preserve">
      ° С - degree Celsius; </w:t>
      </w:r>
    </w:p>
    <w:p>
      <w:pPr>
        <w:spacing w:after="0"/>
        <w:ind w:left="0"/>
        <w:jc w:val="both"/>
      </w:pPr>
      <w:r>
        <w:rPr>
          <w:rFonts w:ascii="Times New Roman"/>
          <w:b w:val="false"/>
          <w:i w:val="false"/>
          <w:color w:val="000000"/>
          <w:sz w:val="28"/>
        </w:rPr>
        <w:t>
      N - numerical value of measured depth of defect occurrence (item 6);</w:t>
      </w:r>
    </w:p>
    <w:p>
      <w:pPr>
        <w:spacing w:after="0"/>
        <w:ind w:left="0"/>
        <w:jc w:val="both"/>
      </w:pPr>
      <w:r>
        <w:rPr>
          <w:rFonts w:ascii="Times New Roman"/>
          <w:b w:val="false"/>
          <w:i w:val="false"/>
          <w:color w:val="000000"/>
          <w:sz w:val="28"/>
        </w:rPr>
        <w:t>
      N - Newton (p. 13);</w:t>
      </w:r>
    </w:p>
    <w:p>
      <w:pPr>
        <w:spacing w:after="0"/>
        <w:ind w:left="0"/>
        <w:jc w:val="both"/>
      </w:pPr>
      <w:r>
        <w:rPr>
          <w:rFonts w:ascii="Times New Roman"/>
          <w:b w:val="false"/>
          <w:i w:val="false"/>
          <w:color w:val="000000"/>
          <w:sz w:val="28"/>
        </w:rPr>
        <w:t>
      kN - kiloNewton;</w:t>
      </w:r>
    </w:p>
    <w:p>
      <w:pPr>
        <w:spacing w:after="0"/>
        <w:ind w:left="0"/>
        <w:jc w:val="both"/>
      </w:pPr>
      <w:r>
        <w:rPr>
          <w:rFonts w:ascii="Times New Roman"/>
          <w:b w:val="false"/>
          <w:i w:val="false"/>
          <w:color w:val="000000"/>
          <w:sz w:val="28"/>
        </w:rPr>
        <w:t>
      MPa - megapascal;</w:t>
      </w:r>
    </w:p>
    <w:p>
      <w:pPr>
        <w:spacing w:after="0"/>
        <w:ind w:left="0"/>
        <w:jc w:val="both"/>
      </w:pPr>
      <w:r>
        <w:rPr>
          <w:rFonts w:ascii="Times New Roman"/>
          <w:b w:val="false"/>
          <w:i w:val="false"/>
          <w:color w:val="000000"/>
          <w:sz w:val="28"/>
        </w:rPr>
        <w:t>
      kPa - kilopascal;</w:t>
      </w:r>
    </w:p>
    <w:p>
      <w:pPr>
        <w:spacing w:after="0"/>
        <w:ind w:left="0"/>
        <w:jc w:val="both"/>
      </w:pPr>
      <w:r>
        <w:rPr>
          <w:rFonts w:ascii="Times New Roman"/>
          <w:b w:val="false"/>
          <w:i w:val="false"/>
          <w:color w:val="000000"/>
          <w:sz w:val="28"/>
        </w:rPr>
        <w:t xml:space="preserve">
      Hz - hertz; </w:t>
      </w:r>
    </w:p>
    <w:p>
      <w:pPr>
        <w:spacing w:after="0"/>
        <w:ind w:left="0"/>
        <w:jc w:val="both"/>
      </w:pPr>
      <w:r>
        <w:rPr>
          <w:rFonts w:ascii="Times New Roman"/>
          <w:b w:val="false"/>
          <w:i w:val="false"/>
          <w:color w:val="000000"/>
          <w:sz w:val="28"/>
        </w:rPr>
        <w:t>
      Nd is the refractive index value measured on the yellow sodium line;</w:t>
      </w:r>
    </w:p>
    <w:p>
      <w:pPr>
        <w:spacing w:after="0"/>
        <w:ind w:left="0"/>
        <w:jc w:val="both"/>
      </w:pPr>
      <w:r>
        <w:rPr>
          <w:rFonts w:ascii="Times New Roman"/>
          <w:b w:val="false"/>
          <w:i w:val="false"/>
          <w:color w:val="000000"/>
          <w:sz w:val="28"/>
        </w:rPr>
        <w:t>
      Т - transmittance;</w:t>
      </w:r>
    </w:p>
    <w:p>
      <w:pPr>
        <w:spacing w:after="0"/>
        <w:ind w:left="0"/>
        <w:jc w:val="both"/>
      </w:pPr>
      <w:r>
        <w:rPr>
          <w:rFonts w:ascii="Times New Roman"/>
          <w:b w:val="false"/>
          <w:i w:val="false"/>
          <w:color w:val="000000"/>
          <w:sz w:val="28"/>
        </w:rPr>
        <w:t>
      pX (pH) - index of activity of ions (hydrogen) in the solution;</w:t>
      </w:r>
    </w:p>
    <w:p>
      <w:pPr>
        <w:spacing w:after="0"/>
        <w:ind w:left="0"/>
        <w:jc w:val="both"/>
      </w:pPr>
      <w:r>
        <w:rPr>
          <w:rFonts w:ascii="Times New Roman"/>
          <w:b w:val="false"/>
          <w:i w:val="false"/>
          <w:color w:val="000000"/>
          <w:sz w:val="28"/>
        </w:rPr>
        <w:t>
      RSD - relative mean-square deviation;</w:t>
      </w:r>
    </w:p>
    <w:p>
      <w:pPr>
        <w:spacing w:after="0"/>
        <w:ind w:left="0"/>
        <w:jc w:val="both"/>
      </w:pPr>
      <w:r>
        <w:rPr>
          <w:rFonts w:ascii="Times New Roman"/>
          <w:b w:val="false"/>
          <w:i w:val="false"/>
          <w:color w:val="000000"/>
          <w:sz w:val="28"/>
        </w:rPr>
        <w:t>
      uON – unit of octane number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