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4a30" w14:textId="b6f4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public service regulation “Issue of an opinion (permit) for the placement of mineral raw materials under the customs procedure for processing outside the customs territory”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12 of the Minister of Industry and Infrastructure Development of the Republic of Kazakhstan as of January 15, 2019. Registered with the Ministry of Justice of the Republic of Kazakhstan on January 16, 2019, No. 18197</w:t>
      </w:r>
    </w:p>
    <w:p>
      <w:pPr>
        <w:spacing w:after="0"/>
        <w:ind w:left="0"/>
        <w:jc w:val="both"/>
      </w:pPr>
      <w:r>
        <w:rPr>
          <w:rFonts w:ascii="Times New Roman"/>
          <w:b w:val="false"/>
          <w:i w:val="false"/>
          <w:color w:val="000000"/>
          <w:sz w:val="28"/>
        </w:rPr>
        <w:t>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ff0000"/>
          <w:sz w:val="28"/>
        </w:rPr>
        <w:t>Footnote. Abolished by order of the Minister of Industry and Infrastructure Development of the Republic of Kazakhstan dated 08.09.2020 No. 457 (shall be enforced upon expiry of ten calendar days after the day of its first official publication).</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In accordance with subparagraph 2) of </w:t>
      </w:r>
      <w:r>
        <w:rPr>
          <w:rFonts w:ascii="Times New Roman"/>
          <w:b w:val="false"/>
          <w:i w:val="false"/>
          <w:color w:val="000000"/>
          <w:sz w:val="28"/>
        </w:rPr>
        <w:t>Article 10</w:t>
      </w:r>
      <w:r>
        <w:rPr>
          <w:rFonts w:ascii="Times New Roman"/>
          <w:b w:val="false"/>
          <w:i w:val="false"/>
          <w:color w:val="000000"/>
          <w:sz w:val="28"/>
        </w:rPr>
        <w:t xml:space="preserve"> of the Law of the Republic of Kazakhstan “On State Services” as of April 15, 2013, I hereby ORDER: </w:t>
      </w:r>
    </w:p>
    <w:bookmarkEnd w:id="0"/>
    <w:bookmarkStart w:name="z5" w:id="1"/>
    <w:p>
      <w:pPr>
        <w:spacing w:after="0"/>
        <w:ind w:left="0"/>
        <w:jc w:val="both"/>
      </w:pPr>
      <w:r>
        <w:rPr>
          <w:rFonts w:ascii="Times New Roman"/>
          <w:b w:val="false"/>
          <w:i w:val="false"/>
          <w:color w:val="000000"/>
          <w:sz w:val="28"/>
        </w:rPr>
        <w:t xml:space="preserve">
      1. To approve the appended </w:t>
      </w:r>
      <w:r>
        <w:rPr>
          <w:rFonts w:ascii="Times New Roman"/>
          <w:b w:val="false"/>
          <w:i w:val="false"/>
          <w:color w:val="000000"/>
          <w:sz w:val="28"/>
        </w:rPr>
        <w:t>regulation</w:t>
      </w:r>
      <w:r>
        <w:rPr>
          <w:rFonts w:ascii="Times New Roman"/>
          <w:b w:val="false"/>
          <w:i w:val="false"/>
          <w:color w:val="000000"/>
          <w:sz w:val="28"/>
        </w:rPr>
        <w:t xml:space="preserve"> of the public service “Issue of an opinion (permit) for the placement of mineral raw materials under the customs procedure for processing outside the customs territory”.</w:t>
      </w:r>
    </w:p>
    <w:bookmarkEnd w:id="1"/>
    <w:bookmarkStart w:name="z6" w:id="2"/>
    <w:p>
      <w:pPr>
        <w:spacing w:after="0"/>
        <w:ind w:left="0"/>
        <w:jc w:val="both"/>
      </w:pPr>
      <w:r>
        <w:rPr>
          <w:rFonts w:ascii="Times New Roman"/>
          <w:b w:val="false"/>
          <w:i w:val="false"/>
          <w:color w:val="000000"/>
          <w:sz w:val="28"/>
        </w:rPr>
        <w:t>
      2. In accordance with the procedure established by the legislation of the Republic of Kazakhstan, the Committee for Industrial Development and Industrial Safety of the Ministry of Industry and Infrastructure Development of the Republic of Kazakhstan shall:</w:t>
      </w:r>
    </w:p>
    <w:bookmarkEnd w:id="2"/>
    <w:bookmarkStart w:name="z7"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8" w:id="4"/>
    <w:p>
      <w:pPr>
        <w:spacing w:after="0"/>
        <w:ind w:left="0"/>
        <w:jc w:val="both"/>
      </w:pPr>
      <w:r>
        <w:rPr>
          <w:rFonts w:ascii="Times New Roman"/>
          <w:b w:val="false"/>
          <w:i w:val="false"/>
          <w:color w:val="000000"/>
          <w:sz w:val="28"/>
        </w:rPr>
        <w:t xml:space="preserve">
      2) within ten calendar days of the state registration of this order, send this order’s electronic copy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bookmarkEnd w:id="4"/>
    <w:bookmarkStart w:name="z9" w:id="5"/>
    <w:p>
      <w:pPr>
        <w:spacing w:after="0"/>
        <w:ind w:left="0"/>
        <w:jc w:val="both"/>
      </w:pPr>
      <w:r>
        <w:rPr>
          <w:rFonts w:ascii="Times New Roman"/>
          <w:b w:val="false"/>
          <w:i w:val="false"/>
          <w:color w:val="000000"/>
          <w:sz w:val="28"/>
        </w:rPr>
        <w:t>
      3) place this order on the website of the Ministry of Industry and Infrastructure Development of the Republic of Kazakhstan.</w:t>
      </w:r>
    </w:p>
    <w:bookmarkEnd w:id="5"/>
    <w:bookmarkStart w:name="z10" w:id="6"/>
    <w:p>
      <w:pPr>
        <w:spacing w:after="0"/>
        <w:ind w:left="0"/>
        <w:jc w:val="both"/>
      </w:pPr>
      <w:r>
        <w:rPr>
          <w:rFonts w:ascii="Times New Roman"/>
          <w:b w:val="false"/>
          <w:i w:val="false"/>
          <w:color w:val="000000"/>
          <w:sz w:val="28"/>
        </w:rPr>
        <w:t>
      3. The control over the execution of this order shall be assigned to the supervising vice-minister of industry and infrastructure development of the Republic of Kazakhstan.</w:t>
      </w:r>
    </w:p>
    <w:bookmarkEnd w:id="6"/>
    <w:bookmarkStart w:name="z11" w:id="7"/>
    <w:p>
      <w:pPr>
        <w:spacing w:after="0"/>
        <w:ind w:left="0"/>
        <w:jc w:val="both"/>
      </w:pPr>
      <w:r>
        <w:rPr>
          <w:rFonts w:ascii="Times New Roman"/>
          <w:b w:val="false"/>
          <w:i w:val="false"/>
          <w:color w:val="000000"/>
          <w:sz w:val="28"/>
        </w:rPr>
        <w:t>
      4. This order shall take effect ten calendar days after its first official publication.</w:t>
      </w:r>
    </w:p>
    <w:bookmarkEnd w:id="7"/>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12 as of January 15, 2019</w:t>
            </w:r>
            <w:r>
              <w:br/>
            </w:r>
            <w:r>
              <w:rPr>
                <w:rFonts w:ascii="Times New Roman"/>
                <w:b w:val="false"/>
                <w:i w:val="false"/>
                <w:color w:val="000000"/>
                <w:sz w:val="20"/>
              </w:rPr>
              <w:t>of the Minister of Industry and</w:t>
            </w:r>
            <w:r>
              <w:br/>
            </w:r>
            <w:r>
              <w:rPr>
                <w:rFonts w:ascii="Times New Roman"/>
                <w:b w:val="false"/>
                <w:i w:val="false"/>
                <w:color w:val="000000"/>
                <w:sz w:val="20"/>
              </w:rPr>
              <w:t>Infrastructure Development of the</w:t>
            </w:r>
            <w:r>
              <w:br/>
            </w:r>
            <w:r>
              <w:rPr>
                <w:rFonts w:ascii="Times New Roman"/>
                <w:b w:val="false"/>
                <w:i w:val="false"/>
                <w:color w:val="000000"/>
                <w:sz w:val="20"/>
              </w:rPr>
              <w:t>Republic of Kazakhstan</w:t>
            </w:r>
          </w:p>
        </w:tc>
      </w:tr>
    </w:tbl>
    <w:bookmarkStart w:name="z14" w:id="8"/>
    <w:p>
      <w:pPr>
        <w:spacing w:after="0"/>
        <w:ind w:left="0"/>
        <w:jc w:val="left"/>
      </w:pPr>
      <w:r>
        <w:rPr>
          <w:rFonts w:ascii="Times New Roman"/>
          <w:b/>
          <w:i w:val="false"/>
          <w:color w:val="000000"/>
        </w:rPr>
        <w:t xml:space="preserve"> The public service regulation “Issue of an opinion (permit) for the placement of mineral raw</w:t>
      </w:r>
      <w:r>
        <w:br/>
      </w:r>
      <w:r>
        <w:rPr>
          <w:rFonts w:ascii="Times New Roman"/>
          <w:b/>
          <w:i w:val="false"/>
          <w:color w:val="000000"/>
        </w:rPr>
        <w:t>materials under the customs procedure for processing outside the customs territory”</w:t>
      </w:r>
      <w:r>
        <w:br/>
      </w:r>
      <w:r>
        <w:rPr>
          <w:rFonts w:ascii="Times New Roman"/>
          <w:b/>
          <w:i w:val="false"/>
          <w:color w:val="000000"/>
        </w:rPr>
        <w:t xml:space="preserve">Chapter 1. General provisions </w:t>
      </w:r>
    </w:p>
    <w:bookmarkEnd w:id="8"/>
    <w:bookmarkStart w:name="z16" w:id="9"/>
    <w:p>
      <w:pPr>
        <w:spacing w:after="0"/>
        <w:ind w:left="0"/>
        <w:jc w:val="both"/>
      </w:pPr>
      <w:r>
        <w:rPr>
          <w:rFonts w:ascii="Times New Roman"/>
          <w:b w:val="false"/>
          <w:i w:val="false"/>
          <w:color w:val="000000"/>
          <w:sz w:val="28"/>
        </w:rPr>
        <w:t>
      1. The public service “Issue of an opinion (permit) for the placement of mineral raw materials under the customs procedure for processing outside the customs territory” (hereinafter referred to as the public service) is provided by the Committee for Industrial Development and Industrial Safety of the Ministry of Industry and Infrastructure Development of the Republic of Kazakhstan (hereinafter referred to as the service provider).</w:t>
      </w:r>
    </w:p>
    <w:bookmarkEnd w:id="9"/>
    <w:bookmarkStart w:name="z17" w:id="10"/>
    <w:p>
      <w:pPr>
        <w:spacing w:after="0"/>
        <w:ind w:left="0"/>
        <w:jc w:val="both"/>
      </w:pPr>
      <w:r>
        <w:rPr>
          <w:rFonts w:ascii="Times New Roman"/>
          <w:b w:val="false"/>
          <w:i w:val="false"/>
          <w:color w:val="000000"/>
          <w:sz w:val="28"/>
        </w:rPr>
        <w:t xml:space="preserve">
      The public service is provided on the basis of the public service standard “Issue of an opinion (permit) for the placement of mineral raw materials under the customs procedure for processing outside the customs territory” approved by </w:t>
      </w:r>
      <w:r>
        <w:rPr>
          <w:rFonts w:ascii="Times New Roman"/>
          <w:b w:val="false"/>
          <w:i w:val="false"/>
          <w:color w:val="000000"/>
          <w:sz w:val="28"/>
        </w:rPr>
        <w:t>Order</w:t>
      </w:r>
      <w:r>
        <w:rPr>
          <w:rFonts w:ascii="Times New Roman"/>
          <w:b w:val="false"/>
          <w:i w:val="false"/>
          <w:color w:val="000000"/>
          <w:sz w:val="28"/>
        </w:rPr>
        <w:t xml:space="preserve"> No. 14 of the Minister of Investment and Development of the Republic of Kazakhstan as of January 11, 2018 (registered in the Register of State Registration of Regulatory Legal Acts, No. 16332) (hereinafter referred to as the Standard). </w:t>
      </w:r>
    </w:p>
    <w:bookmarkEnd w:id="10"/>
    <w:bookmarkStart w:name="z18" w:id="11"/>
    <w:p>
      <w:pPr>
        <w:spacing w:after="0"/>
        <w:ind w:left="0"/>
        <w:jc w:val="both"/>
      </w:pPr>
      <w:r>
        <w:rPr>
          <w:rFonts w:ascii="Times New Roman"/>
          <w:b w:val="false"/>
          <w:i w:val="false"/>
          <w:color w:val="000000"/>
          <w:sz w:val="28"/>
        </w:rPr>
        <w:t xml:space="preserve">
      The application is received and the result of the provision of the public service is delivered through the office of the service provider. </w:t>
      </w:r>
    </w:p>
    <w:bookmarkEnd w:id="11"/>
    <w:bookmarkStart w:name="z19" w:id="12"/>
    <w:p>
      <w:pPr>
        <w:spacing w:after="0"/>
        <w:ind w:left="0"/>
        <w:jc w:val="both"/>
      </w:pPr>
      <w:r>
        <w:rPr>
          <w:rFonts w:ascii="Times New Roman"/>
          <w:b w:val="false"/>
          <w:i w:val="false"/>
          <w:color w:val="000000"/>
          <w:sz w:val="28"/>
        </w:rPr>
        <w:t>
      2. The public service is provided in the paper-based form.</w:t>
      </w:r>
    </w:p>
    <w:bookmarkEnd w:id="12"/>
    <w:bookmarkStart w:name="z20" w:id="13"/>
    <w:p>
      <w:pPr>
        <w:spacing w:after="0"/>
        <w:ind w:left="0"/>
        <w:jc w:val="both"/>
      </w:pPr>
      <w:r>
        <w:rPr>
          <w:rFonts w:ascii="Times New Roman"/>
          <w:b w:val="false"/>
          <w:i w:val="false"/>
          <w:color w:val="000000"/>
          <w:sz w:val="28"/>
        </w:rPr>
        <w:t>
      3. The result of the public service’s provision is:</w:t>
      </w:r>
    </w:p>
    <w:bookmarkEnd w:id="13"/>
    <w:bookmarkStart w:name="z21" w:id="14"/>
    <w:p>
      <w:pPr>
        <w:spacing w:after="0"/>
        <w:ind w:left="0"/>
        <w:jc w:val="both"/>
      </w:pPr>
      <w:r>
        <w:rPr>
          <w:rFonts w:ascii="Times New Roman"/>
          <w:b w:val="false"/>
          <w:i w:val="false"/>
          <w:color w:val="000000"/>
          <w:sz w:val="28"/>
        </w:rPr>
        <w:t xml:space="preserve">
      an opinion (permit) for the placement of mineral raw materials under the customs procedure for processing outside the customs territory (hereinafter referred to as an opinion (permit)) issued in the form required by the Appendix to the Standard or a reasoned response to refuse to provide the public service on the grounds established by </w:t>
      </w:r>
      <w:r>
        <w:rPr>
          <w:rFonts w:ascii="Times New Roman"/>
          <w:b w:val="false"/>
          <w:i w:val="false"/>
          <w:color w:val="000000"/>
          <w:sz w:val="28"/>
        </w:rPr>
        <w:t>paragraph 10</w:t>
      </w:r>
      <w:r>
        <w:rPr>
          <w:rFonts w:ascii="Times New Roman"/>
          <w:b w:val="false"/>
          <w:i w:val="false"/>
          <w:color w:val="000000"/>
          <w:sz w:val="28"/>
        </w:rPr>
        <w:t xml:space="preserve"> of the Standard. </w:t>
      </w:r>
    </w:p>
    <w:bookmarkEnd w:id="14"/>
    <w:bookmarkStart w:name="z22" w:id="15"/>
    <w:p>
      <w:pPr>
        <w:spacing w:after="0"/>
        <w:ind w:left="0"/>
        <w:jc w:val="both"/>
      </w:pPr>
      <w:r>
        <w:rPr>
          <w:rFonts w:ascii="Times New Roman"/>
          <w:b w:val="false"/>
          <w:i w:val="false"/>
          <w:color w:val="000000"/>
          <w:sz w:val="28"/>
        </w:rPr>
        <w:t>
      Chapter 2. Description of the plan of action for the service provider’s structural units (employees) in the course of the public service’s provision</w:t>
      </w:r>
    </w:p>
    <w:bookmarkEnd w:id="15"/>
    <w:bookmarkStart w:name="z23" w:id="16"/>
    <w:p>
      <w:pPr>
        <w:spacing w:after="0"/>
        <w:ind w:left="0"/>
        <w:jc w:val="both"/>
      </w:pPr>
      <w:r>
        <w:rPr>
          <w:rFonts w:ascii="Times New Roman"/>
          <w:b w:val="false"/>
          <w:i w:val="false"/>
          <w:color w:val="000000"/>
          <w:sz w:val="28"/>
        </w:rPr>
        <w:t xml:space="preserve">
      4. A ground for starting the process of rendering the public service is a service recipient’s application with documents attached thereto (hereinafter referred to as the document) in accordance with </w:t>
      </w:r>
      <w:r>
        <w:rPr>
          <w:rFonts w:ascii="Times New Roman"/>
          <w:b w:val="false"/>
          <w:i w:val="false"/>
          <w:color w:val="000000"/>
          <w:sz w:val="28"/>
        </w:rPr>
        <w:t>paragraph 9</w:t>
      </w:r>
      <w:r>
        <w:rPr>
          <w:rFonts w:ascii="Times New Roman"/>
          <w:b w:val="false"/>
          <w:i w:val="false"/>
          <w:color w:val="000000"/>
          <w:sz w:val="28"/>
        </w:rPr>
        <w:t xml:space="preserve"> of the Standard. </w:t>
      </w:r>
    </w:p>
    <w:bookmarkEnd w:id="16"/>
    <w:bookmarkStart w:name="z24" w:id="17"/>
    <w:p>
      <w:pPr>
        <w:spacing w:after="0"/>
        <w:ind w:left="0"/>
        <w:jc w:val="both"/>
      </w:pPr>
      <w:r>
        <w:rPr>
          <w:rFonts w:ascii="Times New Roman"/>
          <w:b w:val="false"/>
          <w:i w:val="false"/>
          <w:color w:val="000000"/>
          <w:sz w:val="28"/>
        </w:rPr>
        <w:t>
      5. Procedures (actions) constituting the process of the public service’s provision are as follows:</w:t>
      </w:r>
    </w:p>
    <w:bookmarkEnd w:id="17"/>
    <w:bookmarkStart w:name="z25" w:id="18"/>
    <w:p>
      <w:pPr>
        <w:spacing w:after="0"/>
        <w:ind w:left="0"/>
        <w:jc w:val="both"/>
      </w:pPr>
      <w:r>
        <w:rPr>
          <w:rFonts w:ascii="Times New Roman"/>
          <w:b w:val="false"/>
          <w:i w:val="false"/>
          <w:color w:val="000000"/>
          <w:sz w:val="28"/>
        </w:rPr>
        <w:t xml:space="preserve">
      1) the application’s registration in the office of the service provider; </w:t>
      </w:r>
    </w:p>
    <w:bookmarkEnd w:id="18"/>
    <w:bookmarkStart w:name="z26" w:id="19"/>
    <w:p>
      <w:pPr>
        <w:spacing w:after="0"/>
        <w:ind w:left="0"/>
        <w:jc w:val="both"/>
      </w:pPr>
      <w:r>
        <w:rPr>
          <w:rFonts w:ascii="Times New Roman"/>
          <w:b w:val="false"/>
          <w:i w:val="false"/>
          <w:color w:val="000000"/>
          <w:sz w:val="28"/>
        </w:rPr>
        <w:t xml:space="preserve">
      2) the application’s referral to the responsible officer (through a deputy head and head of a structural unit) by the service provider’s head; </w:t>
      </w:r>
    </w:p>
    <w:bookmarkEnd w:id="19"/>
    <w:bookmarkStart w:name="z27" w:id="20"/>
    <w:p>
      <w:pPr>
        <w:spacing w:after="0"/>
        <w:ind w:left="0"/>
        <w:jc w:val="both"/>
      </w:pPr>
      <w:r>
        <w:rPr>
          <w:rFonts w:ascii="Times New Roman"/>
          <w:b w:val="false"/>
          <w:i w:val="false"/>
          <w:color w:val="000000"/>
          <w:sz w:val="28"/>
        </w:rPr>
        <w:t xml:space="preserve">
      3) consideration of the application and execution of the result of the public service’s provision by the responsible officer of the service provider; </w:t>
      </w:r>
    </w:p>
    <w:bookmarkEnd w:id="20"/>
    <w:bookmarkStart w:name="z28" w:id="21"/>
    <w:p>
      <w:pPr>
        <w:spacing w:after="0"/>
        <w:ind w:left="0"/>
        <w:jc w:val="both"/>
      </w:pPr>
      <w:r>
        <w:rPr>
          <w:rFonts w:ascii="Times New Roman"/>
          <w:b w:val="false"/>
          <w:i w:val="false"/>
          <w:color w:val="000000"/>
          <w:sz w:val="28"/>
        </w:rPr>
        <w:t xml:space="preserve">
      4) the signing of the result of the public service’s provision by the head of the service provider; </w:t>
      </w:r>
    </w:p>
    <w:bookmarkEnd w:id="21"/>
    <w:bookmarkStart w:name="z29" w:id="22"/>
    <w:p>
      <w:pPr>
        <w:spacing w:after="0"/>
        <w:ind w:left="0"/>
        <w:jc w:val="both"/>
      </w:pPr>
      <w:r>
        <w:rPr>
          <w:rFonts w:ascii="Times New Roman"/>
          <w:b w:val="false"/>
          <w:i w:val="false"/>
          <w:color w:val="000000"/>
          <w:sz w:val="28"/>
        </w:rPr>
        <w:t xml:space="preserve">
      5) sending the result of the public service’s provision to the service recipient. </w:t>
      </w:r>
    </w:p>
    <w:bookmarkEnd w:id="22"/>
    <w:bookmarkStart w:name="z30" w:id="23"/>
    <w:p>
      <w:pPr>
        <w:spacing w:after="0"/>
        <w:ind w:left="0"/>
        <w:jc w:val="both"/>
      </w:pPr>
      <w:r>
        <w:rPr>
          <w:rFonts w:ascii="Times New Roman"/>
          <w:b w:val="false"/>
          <w:i w:val="false"/>
          <w:color w:val="000000"/>
          <w:sz w:val="28"/>
        </w:rPr>
        <w:t xml:space="preserve">
      6. Description of the sequence of procedures (actions) performed by structural units (employees) of the service provider: </w:t>
      </w:r>
    </w:p>
    <w:bookmarkEnd w:id="23"/>
    <w:bookmarkStart w:name="z31" w:id="24"/>
    <w:p>
      <w:pPr>
        <w:spacing w:after="0"/>
        <w:ind w:left="0"/>
        <w:jc w:val="both"/>
      </w:pPr>
      <w:r>
        <w:rPr>
          <w:rFonts w:ascii="Times New Roman"/>
          <w:b w:val="false"/>
          <w:i w:val="false"/>
          <w:color w:val="000000"/>
          <w:sz w:val="28"/>
        </w:rPr>
        <w:t xml:space="preserve">
      1) within 20 (twenty) minutes of the documents’ receipt, an employee of the service provider’s office registers the documents received and submits them to the head for his/her consideration; </w:t>
      </w:r>
    </w:p>
    <w:bookmarkEnd w:id="24"/>
    <w:bookmarkStart w:name="z32" w:id="25"/>
    <w:p>
      <w:pPr>
        <w:spacing w:after="0"/>
        <w:ind w:left="0"/>
        <w:jc w:val="both"/>
      </w:pPr>
      <w:r>
        <w:rPr>
          <w:rFonts w:ascii="Times New Roman"/>
          <w:b w:val="false"/>
          <w:i w:val="false"/>
          <w:color w:val="000000"/>
          <w:sz w:val="28"/>
        </w:rPr>
        <w:t xml:space="preserve">
      2) within 3 (three) hours of documents’ receipt, the head of the service provider refers the application and documents to the responsible officer of the service provider (through a deputy head and head of a structural unit); </w:t>
      </w:r>
    </w:p>
    <w:bookmarkEnd w:id="25"/>
    <w:bookmarkStart w:name="z33" w:id="26"/>
    <w:p>
      <w:pPr>
        <w:spacing w:after="0"/>
        <w:ind w:left="0"/>
        <w:jc w:val="both"/>
      </w:pPr>
      <w:r>
        <w:rPr>
          <w:rFonts w:ascii="Times New Roman"/>
          <w:b w:val="false"/>
          <w:i w:val="false"/>
          <w:color w:val="000000"/>
          <w:sz w:val="28"/>
        </w:rPr>
        <w:t xml:space="preserve">
      3) the service provider’s responsible officer considers the service recipient’s application and documents necessary for the public service’s provision, then sends an opinion (permit) or a reasoned response to refuse to provide the public service on the grounds established by paragraph 10 of the Standard for their signing by the service provider’s head within 14 (fourteen) calendar days; </w:t>
      </w:r>
    </w:p>
    <w:bookmarkEnd w:id="26"/>
    <w:bookmarkStart w:name="z34" w:id="27"/>
    <w:p>
      <w:pPr>
        <w:spacing w:after="0"/>
        <w:ind w:left="0"/>
        <w:jc w:val="both"/>
      </w:pPr>
      <w:r>
        <w:rPr>
          <w:rFonts w:ascii="Times New Roman"/>
          <w:b w:val="false"/>
          <w:i w:val="false"/>
          <w:color w:val="000000"/>
          <w:sz w:val="28"/>
        </w:rPr>
        <w:t xml:space="preserve">
      4) within 4 (four) hours, the head of the service provider signs the opinion (permit) or the reasoned response to refuse to provide the public service and sends it to the responsible officer of the service provider; </w:t>
      </w:r>
    </w:p>
    <w:bookmarkEnd w:id="27"/>
    <w:bookmarkStart w:name="z35" w:id="28"/>
    <w:p>
      <w:pPr>
        <w:spacing w:after="0"/>
        <w:ind w:left="0"/>
        <w:jc w:val="both"/>
      </w:pPr>
      <w:r>
        <w:rPr>
          <w:rFonts w:ascii="Times New Roman"/>
          <w:b w:val="false"/>
          <w:i w:val="false"/>
          <w:color w:val="000000"/>
          <w:sz w:val="28"/>
        </w:rPr>
        <w:t xml:space="preserve">
      5) in accordance with the Appendix to the Standard, the result of the provision of a public service shall be issued to the service recipient within 20 (twenty) minutes of receipt by the responsible officer of the service provider. </w:t>
      </w:r>
    </w:p>
    <w:bookmarkEnd w:id="28"/>
    <w:bookmarkStart w:name="z36" w:id="29"/>
    <w:p>
      <w:pPr>
        <w:spacing w:after="0"/>
        <w:ind w:left="0"/>
        <w:jc w:val="both"/>
      </w:pPr>
      <w:r>
        <w:rPr>
          <w:rFonts w:ascii="Times New Roman"/>
          <w:b w:val="false"/>
          <w:i w:val="false"/>
          <w:color w:val="000000"/>
          <w:sz w:val="28"/>
        </w:rPr>
        <w:t>
      Chapter 3. Description of the interaction procedure for structural units (employees) of the service provider in the course of the public service’s provision</w:t>
      </w:r>
    </w:p>
    <w:bookmarkEnd w:id="29"/>
    <w:bookmarkStart w:name="z37" w:id="30"/>
    <w:p>
      <w:pPr>
        <w:spacing w:after="0"/>
        <w:ind w:left="0"/>
        <w:jc w:val="both"/>
      </w:pPr>
      <w:r>
        <w:rPr>
          <w:rFonts w:ascii="Times New Roman"/>
          <w:b w:val="false"/>
          <w:i w:val="false"/>
          <w:color w:val="000000"/>
          <w:sz w:val="28"/>
        </w:rPr>
        <w:t>
      7. The following structural units of the service provider are involved in the provision of the public service:</w:t>
      </w:r>
    </w:p>
    <w:bookmarkEnd w:id="30"/>
    <w:bookmarkStart w:name="z38" w:id="31"/>
    <w:p>
      <w:pPr>
        <w:spacing w:after="0"/>
        <w:ind w:left="0"/>
        <w:jc w:val="both"/>
      </w:pPr>
      <w:r>
        <w:rPr>
          <w:rFonts w:ascii="Times New Roman"/>
          <w:b w:val="false"/>
          <w:i w:val="false"/>
          <w:color w:val="000000"/>
          <w:sz w:val="28"/>
        </w:rPr>
        <w:t>
      1) a specialist of the office of the service provider;</w:t>
      </w:r>
    </w:p>
    <w:bookmarkEnd w:id="31"/>
    <w:bookmarkStart w:name="z39" w:id="32"/>
    <w:p>
      <w:pPr>
        <w:spacing w:after="0"/>
        <w:ind w:left="0"/>
        <w:jc w:val="both"/>
      </w:pPr>
      <w:r>
        <w:rPr>
          <w:rFonts w:ascii="Times New Roman"/>
          <w:b w:val="false"/>
          <w:i w:val="false"/>
          <w:color w:val="000000"/>
          <w:sz w:val="28"/>
        </w:rPr>
        <w:t xml:space="preserve">
      2) the head of the service provider (a deputy head and head of the structural unit); </w:t>
      </w:r>
    </w:p>
    <w:bookmarkEnd w:id="32"/>
    <w:bookmarkStart w:name="z40" w:id="33"/>
    <w:p>
      <w:pPr>
        <w:spacing w:after="0"/>
        <w:ind w:left="0"/>
        <w:jc w:val="both"/>
      </w:pPr>
      <w:r>
        <w:rPr>
          <w:rFonts w:ascii="Times New Roman"/>
          <w:b w:val="false"/>
          <w:i w:val="false"/>
          <w:color w:val="000000"/>
          <w:sz w:val="28"/>
        </w:rPr>
        <w:t xml:space="preserve">
      3) a responsible officer of the service provider. </w:t>
      </w:r>
    </w:p>
    <w:bookmarkEnd w:id="33"/>
    <w:bookmarkStart w:name="z41" w:id="34"/>
    <w:p>
      <w:pPr>
        <w:spacing w:after="0"/>
        <w:ind w:left="0"/>
        <w:jc w:val="both"/>
      </w:pPr>
      <w:r>
        <w:rPr>
          <w:rFonts w:ascii="Times New Roman"/>
          <w:b w:val="false"/>
          <w:i w:val="false"/>
          <w:color w:val="000000"/>
          <w:sz w:val="28"/>
        </w:rPr>
        <w:t>
      8. The sequence of interaction among structural units (employees) with an indication of the duration of each procedure (action) is described in the Appendix to this regulation “Directory of business processes for the provision of the public service “Issue of an opinion (permit) for the placement of mineral raw materials under the customs procedure for processing outside the customs territory”.</w:t>
      </w:r>
    </w:p>
    <w:bookmarkEnd w:id="34"/>
    <w:tbl>
      <w:tblPr>
        <w:tblW w:w="0" w:type="auto"/>
        <w:tblCellSpacing w:w="0" w:type="auto"/>
        <w:tblBorders>
          <w:top w:val="none"/>
          <w:left w:val="none"/>
          <w:bottom w:val="none"/>
          <w:right w:val="none"/>
          <w:insideH w:val="none"/>
          <w:insideV w:val="none"/>
        </w:tblBorders>
      </w:tblPr>
      <w:tblGrid>
        <w:gridCol w:w="8158"/>
        <w:gridCol w:w="4922"/>
      </w:tblGrid>
      <w:tr>
        <w:trPr>
          <w:trHeight w:val="30" w:hRule="atLeast"/>
        </w:trPr>
        <w:tc>
          <w:tcPr>
            <w:tcW w:w="815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public service regulation </w:t>
            </w:r>
            <w:r>
              <w:br/>
            </w:r>
            <w:r>
              <w:rPr>
                <w:rFonts w:ascii="Times New Roman"/>
                <w:b w:val="false"/>
                <w:i w:val="false"/>
                <w:color w:val="000000"/>
                <w:sz w:val="20"/>
              </w:rPr>
              <w:t>“Issue of an opinion (permit) for</w:t>
            </w:r>
            <w:r>
              <w:br/>
            </w:r>
            <w:r>
              <w:rPr>
                <w:rFonts w:ascii="Times New Roman"/>
                <w:b w:val="false"/>
                <w:i w:val="false"/>
                <w:color w:val="000000"/>
                <w:sz w:val="20"/>
              </w:rPr>
              <w:t>the placement of mineral raw</w:t>
            </w:r>
            <w:r>
              <w:br/>
            </w:r>
            <w:r>
              <w:rPr>
                <w:rFonts w:ascii="Times New Roman"/>
                <w:b w:val="false"/>
                <w:i w:val="false"/>
                <w:color w:val="000000"/>
                <w:sz w:val="20"/>
              </w:rPr>
              <w:t>materials under the customs procedure for processing outside</w:t>
            </w:r>
            <w:r>
              <w:br/>
            </w:r>
            <w:r>
              <w:rPr>
                <w:rFonts w:ascii="Times New Roman"/>
                <w:b w:val="false"/>
                <w:i w:val="false"/>
                <w:color w:val="000000"/>
                <w:sz w:val="20"/>
              </w:rPr>
              <w:t>the customs territory”</w:t>
            </w:r>
          </w:p>
        </w:tc>
      </w:tr>
    </w:tbl>
    <w:bookmarkStart w:name="z43" w:id="35"/>
    <w:p>
      <w:pPr>
        <w:spacing w:after="0"/>
        <w:ind w:left="0"/>
        <w:jc w:val="left"/>
      </w:pPr>
      <w:r>
        <w:rPr>
          <w:rFonts w:ascii="Times New Roman"/>
          <w:b/>
          <w:i w:val="false"/>
          <w:color w:val="000000"/>
        </w:rPr>
        <w:t xml:space="preserve"> Directory of business processes for the provision of the public service “Issue of an opinion</w:t>
      </w:r>
      <w:r>
        <w:br/>
      </w:r>
      <w:r>
        <w:rPr>
          <w:rFonts w:ascii="Times New Roman"/>
          <w:b/>
          <w:i w:val="false"/>
          <w:color w:val="000000"/>
        </w:rPr>
        <w:t>(permit) for the placement of mineral raw materials under the customs procedure for</w:t>
      </w:r>
      <w:r>
        <w:br/>
      </w:r>
      <w:r>
        <w:rPr>
          <w:rFonts w:ascii="Times New Roman"/>
          <w:b/>
          <w:i w:val="false"/>
          <w:color w:val="000000"/>
        </w:rPr>
        <w:t>processing outside the customs territory”</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027"/>
        <w:gridCol w:w="2180"/>
        <w:gridCol w:w="1027"/>
        <w:gridCol w:w="2396"/>
        <w:gridCol w:w="1027"/>
        <w:gridCol w:w="3289"/>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recipient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of the service provider’s office</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service provider</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officer of the service provider</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application</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Receipt of the result of the public service’s provision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day of documents’ receipt registers the accepted documents and forwards them to the head for his/her consideration – within 20 (twenty) minutes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refers the application and documents to the responsible officer of the service provider (through a deputy had and head) of the structural unit as soon as they are accepted – within 3 (three) hours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considers the application and documents of the service recipient  required for the provision of the public service , then submits the opinion (permit) or reasoned response to refuse the provision of the public service on the grounds established by paragraph 14 of the Standard  to the head of the service provider – within (ten)10 calendar days</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delivers the result of the public service’s provision or reasoned refusal to provide public services to the service recipient – within 20 (twenty) minutes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signs the result of the public service’s provision or reasoned refusal to provide public services to the service recipient – within 4 (four) hours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46" w:id="36"/>
    <w:p>
      <w:pPr>
        <w:spacing w:after="0"/>
        <w:ind w:left="0"/>
        <w:jc w:val="both"/>
      </w:pPr>
      <w:r>
        <w:rPr>
          <w:rFonts w:ascii="Times New Roman"/>
          <w:b w:val="false"/>
          <w:i w:val="false"/>
          <w:color w:val="000000"/>
          <w:sz w:val="28"/>
        </w:rPr>
        <w:t>
      SFU* - structural and functional unit of interaction</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244"/>
        <w:gridCol w:w="9053"/>
      </w:tblGrid>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6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60500" cy="181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start or end of the public service’s provision</w:t>
            </w:r>
          </w:p>
          <w:p>
            <w:pPr>
              <w:spacing w:after="20"/>
              <w:ind w:left="20"/>
              <w:jc w:val="both"/>
            </w:pPr>
            <w:r>
              <w:rPr>
                <w:rFonts w:ascii="Times New Roman"/>
                <w:b w:val="false"/>
                <w:i w:val="false"/>
                <w:color w:val="000000"/>
                <w:sz w:val="20"/>
              </w:rPr>
              <w:t>
procedure (action) performed by the service provider and (or) SFU</w:t>
            </w:r>
          </w:p>
          <w:p>
            <w:pPr>
              <w:spacing w:after="20"/>
              <w:ind w:left="20"/>
              <w:jc w:val="both"/>
            </w:pPr>
            <w:r>
              <w:rPr>
                <w:rFonts w:ascii="Times New Roman"/>
                <w:b w:val="false"/>
                <w:i w:val="false"/>
                <w:color w:val="000000"/>
                <w:sz w:val="20"/>
              </w:rPr>
              <w:t>
move to the next procedure (action)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