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69a5" w14:textId="dfa6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model agreement on procurement of a service for maintenance of the readiness of electric capacity with wholesale market entities included into the Register of groups of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14, 2018 No. 512. Registered with the Ministry of Justice of the Republic of Kazakhstan on December 20, 2018 No. 17976.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309 of paragraph 15 of the Regulation on the Ministry of Energy of the Republic of Kazakhstan, approved by the Resolution of the Government of the Republic of Kazakhstan dated September 19, 2014 № 994,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Energy of the Republic of Kazakhstan dated 25.11.2024 № 414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Model agreement on procurement of a service for maintenance of the readiness of electric capacity with wholesale market entities included into the Register of groups of entities.</w:t>
      </w:r>
    </w:p>
    <w:p>
      <w:pPr>
        <w:spacing w:after="0"/>
        <w:ind w:left="0"/>
        <w:jc w:val="both"/>
      </w:pPr>
      <w:r>
        <w:rPr>
          <w:rFonts w:ascii="Times New Roman"/>
          <w:b w:val="false"/>
          <w:i w:val="false"/>
          <w:color w:val="000000"/>
          <w:sz w:val="28"/>
        </w:rPr>
        <w:t>
       2. The Department for implementation of the state policy in the field of electric power industry of Ministry of Energy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in the Ministry of Justice of the Republic of Kazakhstan, the direction hereof in Kazakh and Russian languages to the Republican State Enterprise on the right of economic management "Republican Center for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state registration of this order with the Ministry of Justice of the Republic of Kazakhstan, the reporting to the Department of Legal Services of the Ministry of Energy of the Republic of Kazakhstan on performance of activities, stipulated by sub-items 1), 2) and 3) of this item.</w:t>
      </w:r>
    </w:p>
    <w:p>
      <w:pPr>
        <w:spacing w:after="0"/>
        <w:ind w:left="0"/>
        <w:jc w:val="both"/>
      </w:pPr>
      <w:r>
        <w:rPr>
          <w:rFonts w:ascii="Times New Roman"/>
          <w:b w:val="false"/>
          <w:i w:val="false"/>
          <w:color w:val="000000"/>
          <w:sz w:val="28"/>
        </w:rPr>
        <w:t>
       3. Control over the execution of this order is entrusted to the supervising Vice-Minister of Energy of the Republic of Kazakhstan.</w:t>
      </w:r>
    </w:p>
    <w:p>
      <w:pPr>
        <w:spacing w:after="0"/>
        <w:ind w:left="0"/>
        <w:jc w:val="both"/>
      </w:pPr>
      <w:r>
        <w:rPr>
          <w:rFonts w:ascii="Times New Roman"/>
          <w:b w:val="false"/>
          <w:i w:val="false"/>
          <w:color w:val="000000"/>
          <w:sz w:val="28"/>
        </w:rPr>
        <w:t>
       4. This order is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 512 of the</w:t>
            </w:r>
            <w:r>
              <w:br/>
            </w:r>
            <w:r>
              <w:rPr>
                <w:rFonts w:ascii="Times New Roman"/>
                <w:b w:val="false"/>
                <w:i w:val="false"/>
                <w:color w:val="000000"/>
                <w:sz w:val="20"/>
              </w:rPr>
              <w:t>Minister of Energy of the Republic</w:t>
            </w:r>
            <w:r>
              <w:br/>
            </w:r>
            <w:r>
              <w:rPr>
                <w:rFonts w:ascii="Times New Roman"/>
                <w:b w:val="false"/>
                <w:i w:val="false"/>
                <w:color w:val="000000"/>
                <w:sz w:val="20"/>
              </w:rPr>
              <w:t>of Kazakhstan dated</w:t>
            </w:r>
            <w:r>
              <w:br/>
            </w:r>
            <w:r>
              <w:rPr>
                <w:rFonts w:ascii="Times New Roman"/>
                <w:b w:val="false"/>
                <w:i w:val="false"/>
                <w:color w:val="000000"/>
                <w:sz w:val="20"/>
              </w:rPr>
              <w:t>December 14,2018</w:t>
            </w:r>
          </w:p>
        </w:tc>
      </w:tr>
    </w:tbl>
    <w:p>
      <w:pPr>
        <w:spacing w:after="0"/>
        <w:ind w:left="0"/>
        <w:jc w:val="left"/>
      </w:pPr>
      <w:r>
        <w:rPr>
          <w:rFonts w:ascii="Times New Roman"/>
          <w:b/>
          <w:i w:val="false"/>
          <w:color w:val="000000"/>
        </w:rPr>
        <w:t xml:space="preserve">  Model agreement on procurement of a service for maintenance of the readiness of electric capacity with wholesale market entities included into the Register of groups of entities</w:t>
      </w:r>
    </w:p>
    <w:p>
      <w:pPr>
        <w:spacing w:after="0"/>
        <w:ind w:left="0"/>
        <w:jc w:val="both"/>
      </w:pPr>
      <w:r>
        <w:rPr>
          <w:rFonts w:ascii="Times New Roman"/>
          <w:b w:val="false"/>
          <w:i w:val="false"/>
          <w:color w:val="000000"/>
          <w:sz w:val="28"/>
        </w:rPr>
        <w:t>
      ___________________________                                  "___" ______________ 20__.</w:t>
      </w:r>
    </w:p>
    <w:p>
      <w:pPr>
        <w:spacing w:after="0"/>
        <w:ind w:left="0"/>
        <w:jc w:val="both"/>
      </w:pPr>
      <w:r>
        <w:rPr>
          <w:rFonts w:ascii="Times New Roman"/>
          <w:b w:val="false"/>
          <w:i w:val="false"/>
          <w:color w:val="000000"/>
          <w:sz w:val="28"/>
        </w:rPr>
        <w:t>
      (place of execution of the agreement)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energy producing organization included into the Register of the groups of entities,</w:t>
      </w:r>
    </w:p>
    <w:p>
      <w:pPr>
        <w:spacing w:after="0"/>
        <w:ind w:left="0"/>
        <w:jc w:val="both"/>
      </w:pPr>
      <w:r>
        <w:rPr>
          <w:rFonts w:ascii="Times New Roman"/>
          <w:b w:val="false"/>
          <w:i w:val="false"/>
          <w:color w:val="000000"/>
          <w:sz w:val="28"/>
        </w:rPr>
        <w:t>
       certificate of state registration, date and issuing authority) represented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name, patronymic)</w:t>
      </w:r>
    </w:p>
    <w:p>
      <w:pPr>
        <w:spacing w:after="0"/>
        <w:ind w:left="0"/>
        <w:jc w:val="both"/>
      </w:pPr>
      <w:r>
        <w:rPr>
          <w:rFonts w:ascii="Times New Roman"/>
          <w:b w:val="false"/>
          <w:i w:val="false"/>
          <w:color w:val="000000"/>
          <w:sz w:val="28"/>
        </w:rPr>
        <w:t>
      acting on the basis of</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document)</w:t>
      </w:r>
    </w:p>
    <w:p>
      <w:pPr>
        <w:spacing w:after="0"/>
        <w:ind w:left="0"/>
        <w:jc w:val="both"/>
      </w:pPr>
      <w:r>
        <w:rPr>
          <w:rFonts w:ascii="Times New Roman"/>
          <w:b w:val="false"/>
          <w:i w:val="false"/>
          <w:color w:val="000000"/>
          <w:sz w:val="28"/>
        </w:rPr>
        <w:t>
      hereinafter referred to as “the Entity”, on the one hand</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sole procurer, certificate of state registration, date and issuing authority) represented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name, patronymic)</w:t>
      </w:r>
    </w:p>
    <w:p>
      <w:pPr>
        <w:spacing w:after="0"/>
        <w:ind w:left="0"/>
        <w:jc w:val="both"/>
      </w:pPr>
      <w:r>
        <w:rPr>
          <w:rFonts w:ascii="Times New Roman"/>
          <w:b w:val="false"/>
          <w:i w:val="false"/>
          <w:color w:val="000000"/>
          <w:sz w:val="28"/>
        </w:rPr>
        <w:t>
      acting on the basis of</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(constituent document of the sole procurer)</w:t>
      </w:r>
    </w:p>
    <w:p>
      <w:pPr>
        <w:spacing w:after="0"/>
        <w:ind w:left="0"/>
        <w:jc w:val="both"/>
      </w:pPr>
      <w:r>
        <w:rPr>
          <w:rFonts w:ascii="Times New Roman"/>
          <w:b w:val="false"/>
          <w:i w:val="false"/>
          <w:color w:val="000000"/>
          <w:sz w:val="28"/>
        </w:rPr>
        <w:t>
      hereinafter referred to as the “Sole Procurer” on the other hand, hereinafter collectively referred to as the "Parties", and individually - the “Party”, have made this agreement on procurement of a service for maintenance of the readiness of electric capacity (hereinafter referred to as the Agreement) as follows:</w:t>
      </w:r>
    </w:p>
    <w:p>
      <w:pPr>
        <w:spacing w:after="0"/>
        <w:ind w:left="0"/>
        <w:jc w:val="left"/>
      </w:pPr>
      <w:r>
        <w:rPr>
          <w:rFonts w:ascii="Times New Roman"/>
          <w:b/>
          <w:i w:val="false"/>
          <w:color w:val="000000"/>
        </w:rPr>
        <w:t xml:space="preserve"> Chapter 1. Main provisions</w:t>
      </w:r>
    </w:p>
    <w:p>
      <w:pPr>
        <w:spacing w:after="0"/>
        <w:ind w:left="0"/>
        <w:jc w:val="both"/>
      </w:pPr>
      <w:r>
        <w:rPr>
          <w:rFonts w:ascii="Times New Roman"/>
          <w:b w:val="false"/>
          <w:i w:val="false"/>
          <w:color w:val="000000"/>
          <w:sz w:val="28"/>
        </w:rPr>
        <w:t>
      1. The following concepts and definitions shall be used in this Agreement:</w:t>
      </w:r>
    </w:p>
    <w:p>
      <w:pPr>
        <w:spacing w:after="0"/>
        <w:ind w:left="0"/>
        <w:jc w:val="both"/>
      </w:pPr>
      <w:r>
        <w:rPr>
          <w:rFonts w:ascii="Times New Roman"/>
          <w:b w:val="false"/>
          <w:i w:val="false"/>
          <w:color w:val="000000"/>
          <w:sz w:val="28"/>
        </w:rPr>
        <w:t>
      1) certified electric capacity - the amount of certified electric capacities of power plants according to the results of relevant certifications, in MW;</w:t>
      </w:r>
    </w:p>
    <w:p>
      <w:pPr>
        <w:spacing w:after="0"/>
        <w:ind w:left="0"/>
        <w:jc w:val="both"/>
      </w:pPr>
      <w:r>
        <w:rPr>
          <w:rFonts w:ascii="Times New Roman"/>
          <w:b w:val="false"/>
          <w:i w:val="false"/>
          <w:color w:val="000000"/>
          <w:sz w:val="28"/>
        </w:rPr>
        <w:t>
      2) record of operating electric generating capacities, technological and technical minimums - a document drawn up by the System Operator for every day of the current and upcoming billing period (calendar month), which includes the values of the operating electric generating capacities, possible electric generation capacities, technological and technical minimums of power plants of power generating organizations, provided by energy producing organizations and agreed with  the System Operator;</w:t>
      </w:r>
    </w:p>
    <w:p>
      <w:pPr>
        <w:spacing w:after="0"/>
        <w:ind w:left="0"/>
        <w:jc w:val="both"/>
      </w:pPr>
      <w:r>
        <w:rPr>
          <w:rFonts w:ascii="Times New Roman"/>
          <w:b w:val="false"/>
          <w:i w:val="false"/>
          <w:color w:val="000000"/>
          <w:sz w:val="28"/>
        </w:rPr>
        <w:t>
      3) generating unit- a device that generates electric power;</w:t>
      </w:r>
    </w:p>
    <w:p>
      <w:pPr>
        <w:spacing w:after="0"/>
        <w:ind w:left="0"/>
        <w:jc w:val="both"/>
      </w:pPr>
      <w:r>
        <w:rPr>
          <w:rFonts w:ascii="Times New Roman"/>
          <w:b w:val="false"/>
          <w:i w:val="false"/>
          <w:color w:val="000000"/>
          <w:sz w:val="28"/>
        </w:rPr>
        <w:t>
      4) certification of electric capacities of generating units - activities performed by the system operator, aimed at determining the values of the certified electric capacity and certified velocities of increase and decrease in electric capacity;</w:t>
      </w:r>
    </w:p>
    <w:p>
      <w:pPr>
        <w:spacing w:after="0"/>
        <w:ind w:left="0"/>
        <w:jc w:val="both"/>
      </w:pPr>
      <w:r>
        <w:rPr>
          <w:rFonts w:ascii="Times New Roman"/>
          <w:b w:val="false"/>
          <w:i w:val="false"/>
          <w:color w:val="000000"/>
          <w:sz w:val="28"/>
        </w:rPr>
        <w:t>
      5) billing period - the period defined in the Agreement as a period of time equal to one calendar month from 00-00  on the first day to 24-00  (Central European time - Greenwich meridian time plus one hour) of the last day of the month for which calculation of the service on maintaining the readiness of electric capacity is made;</w:t>
      </w:r>
    </w:p>
    <w:p>
      <w:pPr>
        <w:spacing w:after="0"/>
        <w:ind w:left="0"/>
        <w:jc w:val="both"/>
      </w:pPr>
      <w:r>
        <w:rPr>
          <w:rFonts w:ascii="Times New Roman"/>
          <w:b w:val="false"/>
          <w:i w:val="false"/>
          <w:color w:val="000000"/>
          <w:sz w:val="28"/>
        </w:rPr>
        <w:t>
      6) system operator - a national company that carries out centralized operational dispatch control, ensures parallel operation with the energy systems of other states, maintains balance in the unified electric power system of the Republic of Kazakhstan, provides system services and purchases auxiliary services from wholesale electricity market entities, as well as technical maintenance and maintenance of the operational readiness of the national electric network and ensures its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order of the Minister of Energy of the Republic of Kazakhstan dated 25.11.2024 № 414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fiscal metering complex - equipment required for commercial metering, located between a certain commercial metering point and a connection point to the data  collecting device;</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order of the Minister of Energy of the Republic of Kazakhstan dated 25.11.2024 № 414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technical minimum - the sum of the minimum permissible electric capacities of generating units: for condensing, combined heat and power, gas turbine and combined-cycle power plants - according to the conditions of ensuring the stability of their operation in accordance with the relevant passport data, for hydroelectric power plants according to the conditions of ensuring the specified water consumption of basin inspections for the regulation of the use and protection of water resources, water consumption, in accordance with Article 40 of the Water Code of the Republic of Kazakhstan, in MWt;</w:t>
      </w:r>
    </w:p>
    <w:p>
      <w:pPr>
        <w:spacing w:after="0"/>
        <w:ind w:left="0"/>
        <w:jc w:val="both"/>
      </w:pPr>
      <w:r>
        <w:rPr>
          <w:rFonts w:ascii="Times New Roman"/>
          <w:b w:val="false"/>
          <w:i w:val="false"/>
          <w:color w:val="000000"/>
          <w:sz w:val="28"/>
        </w:rPr>
        <w:t>
      11) technological minimum - the amount of the minimum electric capacities of generating units (at a given level of their thermal capacity), in MW;</w:t>
      </w:r>
    </w:p>
    <w:p>
      <w:pPr>
        <w:spacing w:after="0"/>
        <w:ind w:left="0"/>
        <w:jc w:val="both"/>
      </w:pPr>
      <w:r>
        <w:rPr>
          <w:rFonts w:ascii="Times New Roman"/>
          <w:b w:val="false"/>
          <w:i w:val="false"/>
          <w:color w:val="000000"/>
          <w:sz w:val="28"/>
        </w:rPr>
        <w:t>
      12) authorized body - a state body that exercises management in electric power industry;</w:t>
      </w:r>
    </w:p>
    <w:p>
      <w:pPr>
        <w:spacing w:after="0"/>
        <w:ind w:left="0"/>
        <w:jc w:val="both"/>
      </w:pPr>
      <w:r>
        <w:rPr>
          <w:rFonts w:ascii="Times New Roman"/>
          <w:b w:val="false"/>
          <w:i w:val="false"/>
          <w:color w:val="000000"/>
          <w:sz w:val="28"/>
        </w:rPr>
        <w:t>
      13) service for maintaining the electric capacity readiness - a service provided by energy producing organizations to the Single  procurer in maintaining the readiness of the electric capacity of generating units certified in accordance with the established procedure for bearing the load;</w:t>
      </w:r>
    </w:p>
    <w:p>
      <w:pPr>
        <w:spacing w:after="0"/>
        <w:ind w:left="0"/>
        <w:jc w:val="both"/>
      </w:pPr>
      <w:r>
        <w:rPr>
          <w:rFonts w:ascii="Times New Roman"/>
          <w:b w:val="false"/>
          <w:i w:val="false"/>
          <w:color w:val="000000"/>
          <w:sz w:val="28"/>
        </w:rPr>
        <w:t>
      14) certified rate of decrease in electric power – the average value of the rate of decrease in electric power by the electric station of the energy-producing organization recorded between the start time of recording the value of the rate of decrease in electric power generation and the end time, in MW/minutes;</w:t>
      </w:r>
    </w:p>
    <w:p>
      <w:pPr>
        <w:spacing w:after="0"/>
        <w:ind w:left="0"/>
        <w:jc w:val="both"/>
      </w:pPr>
      <w:r>
        <w:rPr>
          <w:rFonts w:ascii="Times New Roman"/>
          <w:b w:val="false"/>
          <w:i w:val="false"/>
          <w:color w:val="000000"/>
          <w:sz w:val="28"/>
        </w:rPr>
        <w:t>
      15) certified rate of increase in electric capacity – the average value of the rate of increase in electric capacity of generating units of an electric power plant of an energy-producing organization between the start time of recording the value of the rate of increase in electric capacity generation and the end time, in MW/minutes;</w:t>
      </w:r>
    </w:p>
    <w:p>
      <w:pPr>
        <w:spacing w:after="0"/>
        <w:ind w:left="0"/>
        <w:jc w:val="both"/>
      </w:pPr>
      <w:r>
        <w:rPr>
          <w:rFonts w:ascii="Times New Roman"/>
          <w:b w:val="false"/>
          <w:i w:val="false"/>
          <w:color w:val="000000"/>
          <w:sz w:val="28"/>
        </w:rPr>
        <w:t>
      Other concepts and definitions used in this Agreement shall apply in accordance with the legislation of the Republic of Kazakhstan in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368 of the Minister of Energy of the Republic of Kazakhstan dated 27.10.2020 (shall be enforced upon expiry of ten calendar days after the date of its first official publication); with amendments introduced by the order of the Minister of Energy of the Republic of Kazakhstan dated 25.11.2024 № 414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Subject matter of the Agreement</w:t>
      </w:r>
    </w:p>
    <w:p>
      <w:pPr>
        <w:spacing w:after="0"/>
        <w:ind w:left="0"/>
        <w:jc w:val="both"/>
      </w:pPr>
      <w:r>
        <w:rPr>
          <w:rFonts w:ascii="Times New Roman"/>
          <w:b w:val="false"/>
          <w:i w:val="false"/>
          <w:color w:val="000000"/>
          <w:sz w:val="28"/>
        </w:rPr>
        <w:t>
       2. The Entity shall undertake to provide and the Sole Procure shall undertake to procure (consume) and pay for the service for maintenance of the readiness of electric capacity (hereinafter the maintenance service) in accordance with this Agreement and the requirements of the legislation of the Republic of Kazakhstan in electric power industry.</w:t>
      </w:r>
    </w:p>
    <w:p>
      <w:pPr>
        <w:spacing w:after="0"/>
        <w:ind w:left="0"/>
        <w:jc w:val="both"/>
      </w:pPr>
      <w:r>
        <w:rPr>
          <w:rFonts w:ascii="Times New Roman"/>
          <w:b w:val="false"/>
          <w:i w:val="false"/>
          <w:color w:val="000000"/>
          <w:sz w:val="28"/>
        </w:rPr>
        <w:t>
       3. Technical conditions and characteristics of provision of maintenance service: ________________________________________________________________________________</w:t>
      </w:r>
    </w:p>
    <w:p>
      <w:pPr>
        <w:spacing w:after="0"/>
        <w:ind w:left="0"/>
        <w:jc w:val="both"/>
      </w:pPr>
      <w:r>
        <w:rPr>
          <w:rFonts w:ascii="Times New Roman"/>
          <w:b w:val="false"/>
          <w:i w:val="false"/>
          <w:color w:val="000000"/>
          <w:sz w:val="28"/>
        </w:rPr>
        <w:t>
      (this item provides for technical conditions and characteristics of the subject matter of the Agreement).</w:t>
      </w:r>
    </w:p>
    <w:p>
      <w:pPr>
        <w:spacing w:after="0"/>
        <w:ind w:left="0"/>
        <w:jc w:val="both"/>
      </w:pPr>
      <w:r>
        <w:rPr>
          <w:rFonts w:ascii="Times New Roman"/>
          <w:b w:val="false"/>
          <w:i w:val="false"/>
          <w:color w:val="000000"/>
          <w:sz w:val="28"/>
        </w:rPr>
        <w:t>
       4. Price (individual tariff), at which the Sole Procurer undertakes to pay for the maintenance service of the Entity under this Agreement (hereinafter referred to as the agreed price), shall be determined in accordance with item 12 of article 15-5 of the Law of the Republic of Kazakhstan "On electric power industry" (hereinafter referred to as the Law) and sub-item 4) of item 11 of the Rules for organization and operation of the electric capacity market, approved by the order of the Ministry of Energy of the Republic of Kazakhstan dated February 27,2015 № 152 (registered in the Register of State Registration of Regulatory Legal Acts as №10612) (hereinafter referred to as the Rules of capacity market).</w:t>
      </w:r>
    </w:p>
    <w:p>
      <w:pPr>
        <w:spacing w:after="0"/>
        <w:ind w:left="0"/>
        <w:jc w:val="both"/>
      </w:pPr>
      <w:r>
        <w:rPr>
          <w:rFonts w:ascii="Times New Roman"/>
          <w:b w:val="false"/>
          <w:i w:val="false"/>
          <w:color w:val="000000"/>
          <w:sz w:val="28"/>
        </w:rPr>
        <w:t>
       The agreed price shall be specified in accordance with annex 1 to this Agreement.</w:t>
      </w:r>
    </w:p>
    <w:p>
      <w:pPr>
        <w:spacing w:after="0"/>
        <w:ind w:left="0"/>
        <w:jc w:val="both"/>
      </w:pPr>
      <w:r>
        <w:rPr>
          <w:rFonts w:ascii="Times New Roman"/>
          <w:b w:val="false"/>
          <w:i w:val="false"/>
          <w:color w:val="000000"/>
          <w:sz w:val="28"/>
        </w:rPr>
        <w:t>
       5. The scope of the maintenance service, which the Entity is obliged to provide to the Sole Procurer (hereinafter referred to as the agreed scope), shall be determined in accordance with the Rules of capacity market and item 12 of article 15-5 of the Law.</w:t>
      </w:r>
    </w:p>
    <w:p>
      <w:pPr>
        <w:spacing w:after="0"/>
        <w:ind w:left="0"/>
        <w:jc w:val="both"/>
      </w:pPr>
      <w:r>
        <w:rPr>
          <w:rFonts w:ascii="Times New Roman"/>
          <w:b w:val="false"/>
          <w:i w:val="false"/>
          <w:color w:val="000000"/>
          <w:sz w:val="28"/>
        </w:rPr>
        <w:t>
       The agreed scope shall be specified in form in accordance with annex 1 to this Agreement.</w:t>
      </w:r>
    </w:p>
    <w:p>
      <w:pPr>
        <w:spacing w:after="0"/>
        <w:ind w:left="0"/>
        <w:jc w:val="both"/>
      </w:pPr>
      <w:r>
        <w:rPr>
          <w:rFonts w:ascii="Times New Roman"/>
          <w:b w:val="false"/>
          <w:i w:val="false"/>
          <w:color w:val="000000"/>
          <w:sz w:val="28"/>
        </w:rPr>
        <w:t>
       6. The term, during which under this Agreement the Entity shall undertake to provide maintenance service and the Sole Procurer shall undertake to procure this service (hereinafter referred to as the agreed term), shall be specified in accordance with the Rules of capacity market and item 12 of article 15-5 of the Law.</w:t>
      </w:r>
    </w:p>
    <w:p>
      <w:pPr>
        <w:spacing w:after="0"/>
        <w:ind w:left="0"/>
        <w:jc w:val="both"/>
      </w:pPr>
      <w:r>
        <w:rPr>
          <w:rFonts w:ascii="Times New Roman"/>
          <w:b w:val="false"/>
          <w:i w:val="false"/>
          <w:color w:val="000000"/>
          <w:sz w:val="28"/>
        </w:rPr>
        <w:t>
       The agreed term shall be specified in form in accordance with annex 1 to this Agreement.</w:t>
      </w:r>
    </w:p>
    <w:p>
      <w:pPr>
        <w:spacing w:after="0"/>
        <w:ind w:left="0"/>
        <w:jc w:val="both"/>
      </w:pPr>
      <w:r>
        <w:rPr>
          <w:rFonts w:ascii="Times New Roman"/>
          <w:b w:val="false"/>
          <w:i w:val="false"/>
          <w:color w:val="000000"/>
          <w:sz w:val="28"/>
        </w:rPr>
        <w:t>
       7. The maximum value of electric capacity of own consumption, maximum electric capacity of supplies to the retail market entities and maximum export electric capacity shall be specified in form in accordance with annex 1 to this Agreement.</w:t>
      </w:r>
    </w:p>
    <w:p>
      <w:pPr>
        <w:spacing w:after="0"/>
        <w:ind w:left="0"/>
        <w:jc w:val="both"/>
      </w:pPr>
      <w:r>
        <w:rPr>
          <w:rFonts w:ascii="Times New Roman"/>
          <w:b w:val="false"/>
          <w:i w:val="false"/>
          <w:color w:val="000000"/>
          <w:sz w:val="28"/>
        </w:rPr>
        <w:t xml:space="preserve">
       Therewith, in case if one of the current agreements on procurement of the service for maintenance of the readiness of electric capacity of the Entity has already indicated the values of electric capacities, specified in part one of this item, the annex 2 to this Agreement the data values of electric capacities shall not be specified. </w:t>
      </w:r>
    </w:p>
    <w:p>
      <w:pPr>
        <w:spacing w:after="0"/>
        <w:ind w:left="0"/>
        <w:jc w:val="left"/>
      </w:pPr>
      <w:r>
        <w:rPr>
          <w:rFonts w:ascii="Times New Roman"/>
          <w:b/>
          <w:i w:val="false"/>
          <w:color w:val="000000"/>
        </w:rPr>
        <w:t xml:space="preserve"> Chapter 3. Rights and obligations of the Parties</w:t>
      </w:r>
    </w:p>
    <w:p>
      <w:pPr>
        <w:spacing w:after="0"/>
        <w:ind w:left="0"/>
        <w:jc w:val="both"/>
      </w:pPr>
      <w:r>
        <w:rPr>
          <w:rFonts w:ascii="Times New Roman"/>
          <w:b w:val="false"/>
          <w:i w:val="false"/>
          <w:color w:val="000000"/>
          <w:sz w:val="28"/>
        </w:rPr>
        <w:t>
       8. The Sole Procurer shall be obliged:</w:t>
      </w:r>
    </w:p>
    <w:p>
      <w:pPr>
        <w:spacing w:after="0"/>
        <w:ind w:left="0"/>
        <w:jc w:val="both"/>
      </w:pPr>
      <w:r>
        <w:rPr>
          <w:rFonts w:ascii="Times New Roman"/>
          <w:b w:val="false"/>
          <w:i w:val="false"/>
          <w:color w:val="000000"/>
          <w:sz w:val="28"/>
        </w:rPr>
        <w:t>
       1) to pay timely for the service for maintenance of the Entity in accordance with this Agreement;</w:t>
      </w:r>
    </w:p>
    <w:p>
      <w:pPr>
        <w:spacing w:after="0"/>
        <w:ind w:left="0"/>
        <w:jc w:val="both"/>
      </w:pPr>
      <w:r>
        <w:rPr>
          <w:rFonts w:ascii="Times New Roman"/>
          <w:b w:val="false"/>
          <w:i w:val="false"/>
          <w:color w:val="000000"/>
          <w:sz w:val="28"/>
        </w:rPr>
        <w:t>
       2) to notify timely the Entity about the change in its name, legal address, actual location or other details, required for execution of this Agreement;</w:t>
      </w:r>
    </w:p>
    <w:p>
      <w:pPr>
        <w:spacing w:after="0"/>
        <w:ind w:left="0"/>
        <w:jc w:val="both"/>
      </w:pPr>
      <w:r>
        <w:rPr>
          <w:rFonts w:ascii="Times New Roman"/>
          <w:b w:val="false"/>
          <w:i w:val="false"/>
          <w:color w:val="000000"/>
          <w:sz w:val="28"/>
        </w:rPr>
        <w:t>
       3) to perform termination, amendments, and (or) adjustments to this Agreement in accordance with the Rules of capacity market;</w:t>
      </w:r>
    </w:p>
    <w:p>
      <w:pPr>
        <w:spacing w:after="0"/>
        <w:ind w:left="0"/>
        <w:jc w:val="both"/>
      </w:pPr>
      <w:r>
        <w:rPr>
          <w:rFonts w:ascii="Times New Roman"/>
          <w:b w:val="false"/>
          <w:i w:val="false"/>
          <w:color w:val="000000"/>
          <w:sz w:val="28"/>
        </w:rPr>
        <w:t>
       9. The Sole Procurer shall have the right:</w:t>
      </w:r>
    </w:p>
    <w:p>
      <w:pPr>
        <w:spacing w:after="0"/>
        <w:ind w:left="0"/>
        <w:jc w:val="both"/>
      </w:pPr>
      <w:r>
        <w:rPr>
          <w:rFonts w:ascii="Times New Roman"/>
          <w:b w:val="false"/>
          <w:i w:val="false"/>
          <w:color w:val="000000"/>
          <w:sz w:val="28"/>
        </w:rPr>
        <w:t>
       1) to perform termination, amendments, and (or) adjustments to this Agreement in accordance with the Rules of capacity market;</w:t>
      </w:r>
    </w:p>
    <w:p>
      <w:pPr>
        <w:spacing w:after="0"/>
        <w:ind w:left="0"/>
        <w:jc w:val="both"/>
      </w:pPr>
      <w:r>
        <w:rPr>
          <w:rFonts w:ascii="Times New Roman"/>
          <w:b w:val="false"/>
          <w:i w:val="false"/>
          <w:color w:val="000000"/>
          <w:sz w:val="28"/>
        </w:rPr>
        <w:t>
       2) to receive the maintenance service in accordance with this Agreement and the legislation of the Republic of Kazakhstan in electric power industry;</w:t>
      </w:r>
    </w:p>
    <w:p>
      <w:pPr>
        <w:spacing w:after="0"/>
        <w:ind w:left="0"/>
        <w:jc w:val="both"/>
      </w:pPr>
      <w:r>
        <w:rPr>
          <w:rFonts w:ascii="Times New Roman"/>
          <w:b w:val="false"/>
          <w:i w:val="false"/>
          <w:color w:val="000000"/>
          <w:sz w:val="28"/>
        </w:rPr>
        <w:t>
       3) upon request of the state agencies within their competencies, to provide information about the activities of the Entity in the electric capacity market;</w:t>
      </w:r>
    </w:p>
    <w:p>
      <w:pPr>
        <w:spacing w:after="0"/>
        <w:ind w:left="0"/>
        <w:jc w:val="both"/>
      </w:pPr>
      <w:r>
        <w:rPr>
          <w:rFonts w:ascii="Times New Roman"/>
          <w:b w:val="false"/>
          <w:i w:val="false"/>
          <w:color w:val="000000"/>
          <w:sz w:val="28"/>
        </w:rPr>
        <w:t>
       4) to require from the Entity to perform obligations under this Agreement;</w:t>
      </w:r>
    </w:p>
    <w:p>
      <w:pPr>
        <w:spacing w:after="0"/>
        <w:ind w:left="0"/>
        <w:jc w:val="both"/>
      </w:pPr>
      <w:r>
        <w:rPr>
          <w:rFonts w:ascii="Times New Roman"/>
          <w:b w:val="false"/>
          <w:i w:val="false"/>
          <w:color w:val="000000"/>
          <w:sz w:val="28"/>
        </w:rPr>
        <w:t>
       5) to apply to the judicial authorities for settlement of disputable issues associated with conclusion and execution of this Agreement.</w:t>
      </w:r>
    </w:p>
    <w:p>
      <w:pPr>
        <w:spacing w:after="0"/>
        <w:ind w:left="0"/>
        <w:jc w:val="both"/>
      </w:pPr>
      <w:r>
        <w:rPr>
          <w:rFonts w:ascii="Times New Roman"/>
          <w:b w:val="false"/>
          <w:i w:val="false"/>
          <w:color w:val="000000"/>
          <w:sz w:val="28"/>
        </w:rPr>
        <w:t>
      10. The entity shall:</w:t>
      </w:r>
    </w:p>
    <w:p>
      <w:pPr>
        <w:spacing w:after="0"/>
        <w:ind w:left="0"/>
        <w:jc w:val="both"/>
      </w:pPr>
      <w:r>
        <w:rPr>
          <w:rFonts w:ascii="Times New Roman"/>
          <w:b w:val="false"/>
          <w:i w:val="false"/>
          <w:color w:val="000000"/>
          <w:sz w:val="28"/>
        </w:rPr>
        <w:t>
      1) maintain in constant readiness the electric capacity of generating units, which are part of its power plants in the amount equal to or exceeding the contractual volume;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order of the Minister of Energy of the Republic of Kazakhstan dated 25.11.2024 № 414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daily submit applications to the system operator for participation in regulation for increase and decrease in the balancing electricity market;</w:t>
      </w:r>
    </w:p>
    <w:p>
      <w:pPr>
        <w:spacing w:after="0"/>
        <w:ind w:left="0"/>
        <w:jc w:val="both"/>
      </w:pPr>
      <w:r>
        <w:rPr>
          <w:rFonts w:ascii="Times New Roman"/>
          <w:b w:val="false"/>
          <w:i w:val="false"/>
          <w:color w:val="000000"/>
          <w:sz w:val="28"/>
        </w:rPr>
        <w:t>
      3-1) to execute applications for participation in balancing for an increase and decrease in the balancing market of electric energy;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maintain in permanent readiness the system of general primary frequency regulation in accordance with the requirements established by the legislation of the Republic of Kazakhstan in electric power industry;</w:t>
      </w:r>
    </w:p>
    <w:p>
      <w:pPr>
        <w:spacing w:after="0"/>
        <w:ind w:left="0"/>
        <w:jc w:val="both"/>
      </w:pPr>
      <w:r>
        <w:rPr>
          <w:rFonts w:ascii="Times New Roman"/>
          <w:b w:val="false"/>
          <w:i w:val="false"/>
          <w:color w:val="000000"/>
          <w:sz w:val="28"/>
        </w:rPr>
        <w:t>
      5) daily, before 08:00 of the current day (Astana time), provide the system operator with information on the values of the working electric power generation capacities, and technological and technical minimums of the electric stations that are part of the energy-producing organization, for the upcoming planning day (in this case, during the upcoming day, a one-time (once a day) adjustment of this information shall be allowed in the event of the generating equipment being taken out of repair (subject to the presence of a corresponding application to the system operator for the equipment being taken out of repair), as well as an additional adjustment of this information if the system operator is provided with a copy of the order to change the water regime received during the relevant day from the basin inspectorates for the regulation of the use and protection of water resources and water consumption, in accordance with Article 40 of the Water Code of the Republic of Kazakhstan);</w:t>
      </w:r>
    </w:p>
    <w:p>
      <w:pPr>
        <w:spacing w:after="0"/>
        <w:ind w:left="0"/>
        <w:jc w:val="both"/>
      </w:pPr>
      <w:r>
        <w:rPr>
          <w:rFonts w:ascii="Times New Roman"/>
          <w:b w:val="false"/>
          <w:i w:val="false"/>
          <w:color w:val="000000"/>
          <w:sz w:val="28"/>
        </w:rPr>
        <w:t>
      6) provide the system operator with telemetric information on the current values of electric generation capacities and release to the network of power plants of the entity, and on the current values of the electric capacity of the entity’s own consumption;</w:t>
      </w:r>
    </w:p>
    <w:p>
      <w:pPr>
        <w:spacing w:after="0"/>
        <w:ind w:left="0"/>
        <w:jc w:val="both"/>
      </w:pPr>
      <w:r>
        <w:rPr>
          <w:rFonts w:ascii="Times New Roman"/>
          <w:b w:val="false"/>
          <w:i w:val="false"/>
          <w:color w:val="000000"/>
          <w:sz w:val="28"/>
        </w:rPr>
        <w:t>
      7) provide the system operator on a daily basis with information on the actual hourly values of electric power capacities and release to the network of the power plants of the entity, and on the actual hourly values of the electric capacity of the entity’s own consumption;</w:t>
      </w:r>
    </w:p>
    <w:p>
      <w:pPr>
        <w:spacing w:after="0"/>
        <w:ind w:left="0"/>
        <w:jc w:val="both"/>
      </w:pPr>
      <w:r>
        <w:rPr>
          <w:rFonts w:ascii="Times New Roman"/>
          <w:b w:val="false"/>
          <w:i w:val="false"/>
          <w:color w:val="000000"/>
          <w:sz w:val="28"/>
        </w:rPr>
        <w:t>
      8) monthly register and provide the system operator with information on the actual hourly values of electric generation capacities and release to the network of the power plants of the Entity and on the actual hourly values of the electric capacity of the Entity's own consumption for the previous billing period (calendar month);</w:t>
      </w:r>
    </w:p>
    <w:p>
      <w:pPr>
        <w:spacing w:after="0"/>
        <w:ind w:left="0"/>
        <w:jc w:val="both"/>
      </w:pPr>
      <w:r>
        <w:rPr>
          <w:rFonts w:ascii="Times New Roman"/>
          <w:b w:val="false"/>
          <w:i w:val="false"/>
          <w:color w:val="000000"/>
          <w:sz w:val="28"/>
        </w:rPr>
        <w:t>
      9) ensure availability of metering complexes for fiscal metering of electric power with connection to the automated system for fiscal  metering of electricity by the system operator;</w:t>
      </w:r>
    </w:p>
    <w:p>
      <w:pPr>
        <w:spacing w:after="0"/>
        <w:ind w:left="0"/>
        <w:jc w:val="both"/>
      </w:pPr>
      <w:r>
        <w:rPr>
          <w:rFonts w:ascii="Times New Roman"/>
          <w:b w:val="false"/>
          <w:i w:val="false"/>
          <w:color w:val="000000"/>
          <w:sz w:val="28"/>
        </w:rPr>
        <w:t>
      10) admit employees of the system operator to fiscal metering devices for the purpose of taking readings, checking the technical condition of telemetry circuits and fiscal metering systems;</w:t>
      </w:r>
    </w:p>
    <w:p>
      <w:pPr>
        <w:spacing w:after="0"/>
        <w:ind w:left="0"/>
        <w:jc w:val="both"/>
      </w:pPr>
      <w:r>
        <w:rPr>
          <w:rFonts w:ascii="Times New Roman"/>
          <w:b w:val="false"/>
          <w:i w:val="false"/>
          <w:color w:val="000000"/>
          <w:sz w:val="28"/>
        </w:rPr>
        <w:t>
      11) immediately notify the Single Procurer of the change in its name, legal address, actual location and other details required for the execution of this Agreement;</w:t>
      </w:r>
    </w:p>
    <w:p>
      <w:pPr>
        <w:spacing w:after="0"/>
        <w:ind w:left="0"/>
        <w:jc w:val="both"/>
      </w:pPr>
      <w:r>
        <w:rPr>
          <w:rFonts w:ascii="Times New Roman"/>
          <w:b w:val="false"/>
          <w:i w:val="false"/>
          <w:color w:val="000000"/>
          <w:sz w:val="28"/>
        </w:rPr>
        <w:t>
      12) comply with the agreed by the system operator annual, quarterly, monthly schedules of overhaul and current repairs of electric grid, electrical and heat power equipment, relay protection and automation devices, and emergency control automation, which are under operational control and under the management of the system operator;</w:t>
      </w:r>
    </w:p>
    <w:p>
      <w:pPr>
        <w:spacing w:after="0"/>
        <w:ind w:left="0"/>
        <w:jc w:val="both"/>
      </w:pPr>
      <w:r>
        <w:rPr>
          <w:rFonts w:ascii="Times New Roman"/>
          <w:b w:val="false"/>
          <w:i w:val="false"/>
          <w:color w:val="000000"/>
          <w:sz w:val="28"/>
        </w:rPr>
        <w:t>
      13) prevent the sale (realization) of electric energy to power supplying, power transmitting organizations and consumers that are the wholesale electric power market entities, including industrial complexes that do not have contracts with the single procurer for provision of services on ensuring the electric capacity readiness for bearing the load;</w:t>
      </w:r>
    </w:p>
    <w:p>
      <w:pPr>
        <w:spacing w:after="0"/>
        <w:ind w:left="0"/>
        <w:jc w:val="both"/>
      </w:pPr>
      <w:r>
        <w:rPr>
          <w:rFonts w:ascii="Times New Roman"/>
          <w:b w:val="false"/>
          <w:i w:val="false"/>
          <w:color w:val="000000"/>
          <w:sz w:val="28"/>
        </w:rPr>
        <w:t>
      14) pass extraordinary certification of electric capacity of generating units in accordance with the Rules for certification of the electric capacity of generating units, approved by Order № 686 of the Minister of Energy of the Republic of Kazakhstan dated December 3, 2015 (registered in the Register of State Registration of Regulatory Legal Acts under № 12489);</w:t>
      </w:r>
    </w:p>
    <w:p>
      <w:pPr>
        <w:spacing w:after="0"/>
        <w:ind w:left="0"/>
        <w:jc w:val="both"/>
      </w:pPr>
      <w:r>
        <w:rPr>
          <w:rFonts w:ascii="Times New Roman"/>
          <w:b w:val="false"/>
          <w:i w:val="false"/>
          <w:color w:val="000000"/>
          <w:sz w:val="28"/>
        </w:rPr>
        <w:t>
      15) ensure appropriate technical condition of switchgears, emergency control devices located at the facilities of the Entity, devices and complexes of fiscal metering of electricity in accordance with the requirements established by the legislation of the Republic of Kazakhstan in the electric power industry;</w:t>
      </w:r>
    </w:p>
    <w:p>
      <w:pPr>
        <w:spacing w:after="0"/>
        <w:ind w:left="0"/>
        <w:jc w:val="both"/>
      </w:pPr>
      <w:r>
        <w:rPr>
          <w:rFonts w:ascii="Times New Roman"/>
          <w:b w:val="false"/>
          <w:i w:val="false"/>
          <w:color w:val="000000"/>
          <w:sz w:val="28"/>
        </w:rPr>
        <w:t>
      16) carry out hourly planning of the generation mode within the limits of technical capability, determined based on information on the values of the working electric power generation capacities, technological and technical minimums of the electric stations that are part of the energy-producing organization, provided to the system operator on the corresponding planning day;</w:t>
      </w:r>
    </w:p>
    <w:p>
      <w:pPr>
        <w:spacing w:after="0"/>
        <w:ind w:left="0"/>
        <w:jc w:val="both"/>
      </w:pPr>
      <w:r>
        <w:rPr>
          <w:rFonts w:ascii="Times New Roman"/>
          <w:b w:val="false"/>
          <w:i w:val="false"/>
          <w:color w:val="000000"/>
          <w:sz w:val="28"/>
        </w:rPr>
        <w:t>
      17) monthly, before the last day of the month preceding the billing period, provide the system operator with information on the values of the possible electric power generation capacity for each day of the upcoming billing period (calendar month) and coordinate this information with the system operator (for energy-producing organizations that have agreed with a single purchaser for the purchase of a service for maintaining the readiness of electric capacity in accordance with subparagraph 6) of paragraph 11 of the Capacity Market Rules, as well as for energy-producing organizations (which include only combined heat and power plants that provide centralized heat supply to cities during the autumn-winter period) that are part of a group of persons included in the register of groups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Order № 368 of the Minister of Energy of the Republic of Kazakhstan dated 27.10.2020 (shall be enforced upon expiry of ten calendar days after the date of its first official publication); with amendments introduced by the order of the Minister of Energy of the Republic of Kazakhstan dated 25.11.2024 № 414 (shall come into effect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Entity shall have the right:</w:t>
      </w:r>
    </w:p>
    <w:p>
      <w:pPr>
        <w:spacing w:after="0"/>
        <w:ind w:left="0"/>
        <w:jc w:val="both"/>
      </w:pPr>
      <w:r>
        <w:rPr>
          <w:rFonts w:ascii="Times New Roman"/>
          <w:b w:val="false"/>
          <w:i w:val="false"/>
          <w:color w:val="000000"/>
          <w:sz w:val="28"/>
        </w:rPr>
        <w:t>
       1) to require from the Sole Procurer to pay for the maintenance service in accordance with this Agreement;</w:t>
      </w:r>
    </w:p>
    <w:p>
      <w:pPr>
        <w:spacing w:after="0"/>
        <w:ind w:left="0"/>
        <w:jc w:val="both"/>
      </w:pPr>
      <w:r>
        <w:rPr>
          <w:rFonts w:ascii="Times New Roman"/>
          <w:b w:val="false"/>
          <w:i w:val="false"/>
          <w:color w:val="000000"/>
          <w:sz w:val="28"/>
        </w:rPr>
        <w:t>
       2) to apply to the judicial authorities for the settlement of disputable issues associated with conclusion and execution of this Agreement.</w:t>
      </w:r>
    </w:p>
    <w:p>
      <w:pPr>
        <w:spacing w:after="0"/>
        <w:ind w:left="0"/>
        <w:jc w:val="left"/>
      </w:pPr>
      <w:r>
        <w:rPr>
          <w:rFonts w:ascii="Times New Roman"/>
          <w:b/>
          <w:i w:val="false"/>
          <w:color w:val="000000"/>
        </w:rPr>
        <w:t xml:space="preserve"> Chapter 4. Payment for the maintenance service</w:t>
      </w:r>
    </w:p>
    <w:p>
      <w:pPr>
        <w:spacing w:after="0"/>
        <w:ind w:left="0"/>
        <w:jc w:val="both"/>
      </w:pPr>
      <w:r>
        <w:rPr>
          <w:rFonts w:ascii="Times New Roman"/>
          <w:b w:val="false"/>
          <w:i w:val="false"/>
          <w:color w:val="000000"/>
          <w:sz w:val="28"/>
        </w:rPr>
        <w:t>
       12. The Sole Procurer shall pay for the maintenance service of the Entity under this Agreement on a monthly basis, no later than forty five working days after the end of the month of provision of this service.</w:t>
      </w:r>
    </w:p>
    <w:p>
      <w:pPr>
        <w:spacing w:after="0"/>
        <w:ind w:left="0"/>
        <w:jc w:val="both"/>
      </w:pPr>
      <w:r>
        <w:rPr>
          <w:rFonts w:ascii="Times New Roman"/>
          <w:b w:val="false"/>
          <w:i w:val="false"/>
          <w:color w:val="000000"/>
          <w:sz w:val="28"/>
        </w:rPr>
        <w:t>
       Therewith, the scope of maintenance service actually provided (hereinafter referred to as the actual scope of maintenance service) for the settlement period (a calendar month)shall be subject to payment under this Agreement.</w:t>
      </w:r>
    </w:p>
    <w:p>
      <w:pPr>
        <w:spacing w:after="0"/>
        <w:ind w:left="0"/>
        <w:jc w:val="both"/>
      </w:pPr>
      <w:r>
        <w:rPr>
          <w:rFonts w:ascii="Times New Roman"/>
          <w:b w:val="false"/>
          <w:i w:val="false"/>
          <w:color w:val="000000"/>
          <w:sz w:val="28"/>
        </w:rPr>
        <w:t>
       The Sole Procurer shall determine the actual scope of maintenance service in accordance with the Rules of capacity market.</w:t>
      </w:r>
    </w:p>
    <w:p>
      <w:pPr>
        <w:spacing w:after="0"/>
        <w:ind w:left="0"/>
        <w:jc w:val="both"/>
      </w:pPr>
      <w:r>
        <w:rPr>
          <w:rFonts w:ascii="Times New Roman"/>
          <w:b w:val="false"/>
          <w:i w:val="false"/>
          <w:color w:val="000000"/>
          <w:sz w:val="28"/>
        </w:rPr>
        <w:t>
       Information about the actual scope of maintenance service that is subject to payment by the Sole Procurer(hereinafter referred to as the Information), shall be provided by the Sole Procurer to the Entity within twenty working days from the day of the end of the relevant settlement period (a calendar month).</w:t>
      </w:r>
    </w:p>
    <w:p>
      <w:pPr>
        <w:spacing w:after="0"/>
        <w:ind w:left="0"/>
        <w:jc w:val="both"/>
      </w:pPr>
      <w:r>
        <w:rPr>
          <w:rFonts w:ascii="Times New Roman"/>
          <w:b w:val="false"/>
          <w:i w:val="false"/>
          <w:color w:val="000000"/>
          <w:sz w:val="28"/>
        </w:rPr>
        <w:t>
       13. Payment for the actual scope of maintenance service, specified in item 12 of this Agreement, shall be made by the Sole Procurer based on the relevant invoice, submitted by the Entity for payment, and on the service delivery report signed by the Parties.</w:t>
      </w:r>
    </w:p>
    <w:p>
      <w:pPr>
        <w:spacing w:after="0"/>
        <w:ind w:left="0"/>
        <w:jc w:val="both"/>
      </w:pPr>
      <w:r>
        <w:rPr>
          <w:rFonts w:ascii="Times New Roman"/>
          <w:b w:val="false"/>
          <w:i w:val="false"/>
          <w:color w:val="000000"/>
          <w:sz w:val="28"/>
        </w:rPr>
        <w:t>
       The invoice, specified in the first part of this item shall be formed by the Entity based on the relevant Information, submitted by the Sole Procurer to the Entity.</w:t>
      </w:r>
    </w:p>
    <w:p>
      <w:pPr>
        <w:spacing w:after="0"/>
        <w:ind w:left="0"/>
        <w:jc w:val="both"/>
      </w:pPr>
      <w:r>
        <w:rPr>
          <w:rFonts w:ascii="Times New Roman"/>
          <w:b w:val="false"/>
          <w:i w:val="false"/>
          <w:color w:val="000000"/>
          <w:sz w:val="28"/>
        </w:rPr>
        <w:t>
      14. If the Single Purchaser disputes the correctness of the issued invoice, he shall notify the entity within ten working days after approval of the actual balance of production and consumption of electric energy in the Republic of Kazakhstan and shall provide the Subject with a written statement setting out the objections. In this case, the Single Purchaser shall be obliged to pay the undisputed portion of the invoice in accordance with the first part of paragraph 12 of this Agreement.</w:t>
      </w:r>
    </w:p>
    <w:p>
      <w:pPr>
        <w:spacing w:after="0"/>
        <w:ind w:left="0"/>
        <w:jc w:val="both"/>
      </w:pPr>
      <w:r>
        <w:rPr>
          <w:rFonts w:ascii="Times New Roman"/>
          <w:b w:val="false"/>
          <w:i w:val="false"/>
          <w:color w:val="000000"/>
          <w:sz w:val="28"/>
        </w:rPr>
        <w:t>
      When changing the values of dimensionless coefficients determined by the system operator, the period specified in the first part shall be counted from the date of receipt of notification from the system operator.</w:t>
      </w:r>
    </w:p>
    <w:p>
      <w:pPr>
        <w:spacing w:after="0"/>
        <w:ind w:left="0"/>
        <w:jc w:val="both"/>
      </w:pPr>
      <w:r>
        <w:rPr>
          <w:rFonts w:ascii="Times New Roman"/>
          <w:b w:val="false"/>
          <w:i w:val="false"/>
          <w:color w:val="000000"/>
          <w:sz w:val="28"/>
        </w:rPr>
        <w:t>
      If the values of the dimensionless coefficients used to determine the actual volume of maintenance services change after the single purchaser has made payment, the Subject shall be obliged to return the previously paid funds to the Single Purchaser no later than seven working days from the date of receipt of written notification from the Single Purchaser.</w:t>
      </w:r>
    </w:p>
    <w:p>
      <w:pPr>
        <w:spacing w:after="0"/>
        <w:ind w:left="0"/>
        <w:jc w:val="both"/>
      </w:pPr>
      <w:r>
        <w:rPr>
          <w:rFonts w:ascii="Times New Roman"/>
          <w:b w:val="false"/>
          <w:i w:val="false"/>
          <w:color w:val="000000"/>
          <w:sz w:val="28"/>
        </w:rPr>
        <w:t>
      If the Subject disagrees with the changed values of the dimensionless coefficients determined by the system operator, the Subject shall return the funds in accordance with part three of this Paragraph, until the dispute with the system operator is resolved.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Energy of the Republic of Kazakhstan dated 25.11.2024 № 414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Payment by the Sole Procurer of actual scopes of maintenance service shall be made through deposition of the relevant volumes of money to the current account of the Entity in accordance with the details, specified in this Agreement.</w:t>
      </w:r>
    </w:p>
    <w:p>
      <w:pPr>
        <w:spacing w:after="0"/>
        <w:ind w:left="0"/>
        <w:jc w:val="both"/>
      </w:pPr>
      <w:r>
        <w:rPr>
          <w:rFonts w:ascii="Times New Roman"/>
          <w:b w:val="false"/>
          <w:i w:val="false"/>
          <w:color w:val="000000"/>
          <w:sz w:val="28"/>
        </w:rPr>
        <w:t>
       16. Where there is a debt for the previous settlement periods, first of all payment shall be sent to the debt repayment. In case if for the settlement period, the Sole Procurer has paid to the Entity the amount, exceeding in the relevant invoice, the difference of this excess shall be automatically counted to the advance payment of the following settlement period.</w:t>
      </w:r>
    </w:p>
    <w:p>
      <w:pPr>
        <w:spacing w:after="0"/>
        <w:ind w:left="0"/>
        <w:jc w:val="left"/>
      </w:pPr>
      <w:r>
        <w:rPr>
          <w:rFonts w:ascii="Times New Roman"/>
          <w:b/>
          <w:i w:val="false"/>
          <w:color w:val="000000"/>
        </w:rPr>
        <w:t xml:space="preserve"> Chapter 5. Organization of metering</w:t>
      </w:r>
    </w:p>
    <w:p>
      <w:pPr>
        <w:spacing w:after="0"/>
        <w:ind w:left="0"/>
        <w:jc w:val="both"/>
      </w:pPr>
      <w:r>
        <w:rPr>
          <w:rFonts w:ascii="Times New Roman"/>
          <w:b w:val="false"/>
          <w:i w:val="false"/>
          <w:color w:val="000000"/>
          <w:sz w:val="28"/>
        </w:rPr>
        <w:t>
       17. For the purposes of electric power metering, the Entity shall use calibrated and sealed Fiscal metering devices.</w:t>
      </w:r>
    </w:p>
    <w:p>
      <w:pPr>
        <w:spacing w:after="0"/>
        <w:ind w:left="0"/>
        <w:jc w:val="both"/>
      </w:pPr>
      <w:r>
        <w:rPr>
          <w:rFonts w:ascii="Times New Roman"/>
          <w:b w:val="false"/>
          <w:i w:val="false"/>
          <w:color w:val="000000"/>
          <w:sz w:val="28"/>
        </w:rPr>
        <w:t>
       18. When performance of any type of works, associated with changing or violation of work of the fiscal metering devices, the Entity before the commencement of works shall notify thereof the Sole Procurer in writing. Within the period of performance of repair by the Entity, metering shall be made in accordance to the temporary schemes, agreed with the system operator.</w:t>
      </w:r>
    </w:p>
    <w:p>
      <w:pPr>
        <w:spacing w:after="0"/>
        <w:ind w:left="0"/>
        <w:jc w:val="left"/>
      </w:pPr>
      <w:r>
        <w:rPr>
          <w:rFonts w:ascii="Times New Roman"/>
          <w:b/>
          <w:i w:val="false"/>
          <w:color w:val="000000"/>
        </w:rPr>
        <w:t xml:space="preserve"> Chapter 6. Liabilities of the Parties</w:t>
      </w:r>
    </w:p>
    <w:p>
      <w:pPr>
        <w:spacing w:after="0"/>
        <w:ind w:left="0"/>
        <w:jc w:val="both"/>
      </w:pPr>
      <w:r>
        <w:rPr>
          <w:rFonts w:ascii="Times New Roman"/>
          <w:b w:val="false"/>
          <w:i w:val="false"/>
          <w:color w:val="000000"/>
          <w:sz w:val="28"/>
        </w:rPr>
        <w:t>
       19. The Parties shall be liable for failure to perform or improper performance of obligations hereunder in accordance with the legislation of the Republic of Kazakhstan.</w:t>
      </w:r>
    </w:p>
    <w:p>
      <w:pPr>
        <w:spacing w:after="0"/>
        <w:ind w:left="0"/>
        <w:jc w:val="both"/>
      </w:pPr>
      <w:r>
        <w:rPr>
          <w:rFonts w:ascii="Times New Roman"/>
          <w:b w:val="false"/>
          <w:i w:val="false"/>
          <w:color w:val="000000"/>
          <w:sz w:val="28"/>
        </w:rPr>
        <w:t>
       20. The Entity shall be liable for the data submitted hereunder in accordance with the legislation of the Republic of Kazakhstan.</w:t>
      </w:r>
    </w:p>
    <w:p>
      <w:pPr>
        <w:spacing w:after="0"/>
        <w:ind w:left="0"/>
        <w:jc w:val="both"/>
      </w:pPr>
      <w:r>
        <w:rPr>
          <w:rFonts w:ascii="Times New Roman"/>
          <w:b w:val="false"/>
          <w:i w:val="false"/>
          <w:color w:val="000000"/>
          <w:sz w:val="28"/>
        </w:rPr>
        <w:t>
       21. For non-payment of an invoice by the time it becomes due for payment, the Entity shall have the right to charge a penalty on the amounts not paid by the Sole Procurer, starting from the day following the deadline for payment. For overdue amounts, the Entity has the right to demand from the Single Buyer the payment of a penalty calculated on the basis of 1.5 times the refinancing rate set by the National Bank of the Republic of Kazakhstan on the day of the actual performance of the Sole Procurer of the monetary obligation.</w:t>
      </w:r>
    </w:p>
    <w:p>
      <w:pPr>
        <w:spacing w:after="0"/>
        <w:ind w:left="0"/>
        <w:jc w:val="left"/>
      </w:pPr>
      <w:r>
        <w:rPr>
          <w:rFonts w:ascii="Times New Roman"/>
          <w:b/>
          <w:i w:val="false"/>
          <w:color w:val="000000"/>
        </w:rPr>
        <w:t xml:space="preserve"> Chapter 7. Force Majeure circumstances</w:t>
      </w:r>
    </w:p>
    <w:p>
      <w:pPr>
        <w:spacing w:after="0"/>
        <w:ind w:left="0"/>
        <w:jc w:val="both"/>
      </w:pPr>
      <w:r>
        <w:rPr>
          <w:rFonts w:ascii="Times New Roman"/>
          <w:b w:val="false"/>
          <w:i w:val="false"/>
          <w:color w:val="000000"/>
          <w:sz w:val="28"/>
        </w:rPr>
        <w:t>
       22. Force majeure circumstance shall be determined in accordance with the Civil Code of the Republic of Kazakhstan.</w:t>
      </w:r>
    </w:p>
    <w:p>
      <w:pPr>
        <w:spacing w:after="0"/>
        <w:ind w:left="0"/>
        <w:jc w:val="both"/>
      </w:pPr>
      <w:r>
        <w:rPr>
          <w:rFonts w:ascii="Times New Roman"/>
          <w:b w:val="false"/>
          <w:i w:val="false"/>
          <w:color w:val="000000"/>
          <w:sz w:val="28"/>
        </w:rPr>
        <w:t>
       23. The parties shall be excempted from liability for failure to fulfill or improper fulfillment of obligations under this Agreement if this results from force majeure circumstances. In this case, none of the Parties will be entitled to damages. At the same time, none of the Parties shall be released from the obligations under this Agreement arising before the occurrence of force majeure circumstances.</w:t>
      </w:r>
    </w:p>
    <w:p>
      <w:pPr>
        <w:spacing w:after="0"/>
        <w:ind w:left="0"/>
        <w:jc w:val="both"/>
      </w:pPr>
      <w:r>
        <w:rPr>
          <w:rFonts w:ascii="Times New Roman"/>
          <w:b w:val="false"/>
          <w:i w:val="false"/>
          <w:color w:val="000000"/>
          <w:sz w:val="28"/>
        </w:rPr>
        <w:t>
       24. If one of the Parties is unable to fulfill its obligations under this Agreement within sixty calendar days from the date of occurrence of force majeure circumstances, the other Party shall have the right to terminate the Agreement.</w:t>
      </w:r>
    </w:p>
    <w:p>
      <w:pPr>
        <w:spacing w:after="0"/>
        <w:ind w:left="0"/>
        <w:jc w:val="left"/>
      </w:pPr>
      <w:r>
        <w:rPr>
          <w:rFonts w:ascii="Times New Roman"/>
          <w:b/>
          <w:i w:val="false"/>
          <w:color w:val="000000"/>
        </w:rPr>
        <w:t xml:space="preserve"> Chapter 8. Settlement of disputes</w:t>
      </w:r>
    </w:p>
    <w:p>
      <w:pPr>
        <w:spacing w:after="0"/>
        <w:ind w:left="0"/>
        <w:jc w:val="both"/>
      </w:pPr>
      <w:r>
        <w:rPr>
          <w:rFonts w:ascii="Times New Roman"/>
          <w:b w:val="false"/>
          <w:i w:val="false"/>
          <w:color w:val="000000"/>
          <w:sz w:val="28"/>
        </w:rPr>
        <w:t>
       25. All disputes or controversies arising from the substance of this Agreement are resolved by negotiation of the Parties.</w:t>
      </w:r>
    </w:p>
    <w:p>
      <w:pPr>
        <w:spacing w:after="0"/>
        <w:ind w:left="0"/>
        <w:jc w:val="both"/>
      </w:pPr>
      <w:r>
        <w:rPr>
          <w:rFonts w:ascii="Times New Roman"/>
          <w:b w:val="false"/>
          <w:i w:val="false"/>
          <w:color w:val="000000"/>
          <w:sz w:val="28"/>
        </w:rPr>
        <w:t>
       26. If disputes and disagreements arising from this Agreement cannot be resolved through negotiations, then such disputes and disagreements shall be resolved in the courts at the location of the Single Purchaser in accordance with Article 29 of the Civil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Energy of the Republic of Kazakhstan dated 25.11.2024 № 414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Miscellaneous</w:t>
      </w:r>
    </w:p>
    <w:p>
      <w:pPr>
        <w:spacing w:after="0"/>
        <w:ind w:left="0"/>
        <w:jc w:val="both"/>
      </w:pPr>
      <w:r>
        <w:rPr>
          <w:rFonts w:ascii="Times New Roman"/>
          <w:b w:val="false"/>
          <w:i w:val="false"/>
          <w:color w:val="000000"/>
          <w:sz w:val="28"/>
        </w:rPr>
        <w:t>
       27. Settlements between the Parties under this Agreement shall be made in the national currency of the Republic of Kazakhstan.</w:t>
      </w:r>
    </w:p>
    <w:p>
      <w:pPr>
        <w:spacing w:after="0"/>
        <w:ind w:left="0"/>
        <w:jc w:val="both"/>
      </w:pPr>
      <w:r>
        <w:rPr>
          <w:rFonts w:ascii="Times New Roman"/>
          <w:b w:val="false"/>
          <w:i w:val="false"/>
          <w:color w:val="000000"/>
          <w:sz w:val="28"/>
        </w:rPr>
        <w:t>
       28. Relations of the Parties arising from this Agreement and unresolved by them shall be governed by the legislation of the Republic of Kazakhstan in the field of electric power industry.</w:t>
      </w:r>
    </w:p>
    <w:p>
      <w:pPr>
        <w:spacing w:after="0"/>
        <w:ind w:left="0"/>
        <w:jc w:val="both"/>
      </w:pPr>
      <w:r>
        <w:rPr>
          <w:rFonts w:ascii="Times New Roman"/>
          <w:b w:val="false"/>
          <w:i w:val="false"/>
          <w:color w:val="000000"/>
          <w:sz w:val="28"/>
        </w:rPr>
        <w:t>
       29. The information contained in this Agreement is confidential and shall not be subject to disclosure and / or transfer to third parties without the written consent of the Parties, except for the cases provided for by this Agreement and cases established by the legislation of the Republic of Kazakhstan.</w:t>
      </w:r>
    </w:p>
    <w:p>
      <w:pPr>
        <w:spacing w:after="0"/>
        <w:ind w:left="0"/>
        <w:jc w:val="both"/>
      </w:pPr>
      <w:r>
        <w:rPr>
          <w:rFonts w:ascii="Times New Roman"/>
          <w:b w:val="false"/>
          <w:i w:val="false"/>
          <w:color w:val="000000"/>
          <w:sz w:val="28"/>
        </w:rPr>
        <w:t>
       30. All amendments to the annex [может быть должно быть все изменения и приложения - прим. переводчика]to this Agreement shall be valid and shall have effect only if they are made in writing and signed by both Parties.</w:t>
      </w:r>
    </w:p>
    <w:p>
      <w:pPr>
        <w:spacing w:after="0"/>
        <w:ind w:left="0"/>
        <w:jc w:val="both"/>
      </w:pPr>
      <w:r>
        <w:rPr>
          <w:rFonts w:ascii="Times New Roman"/>
          <w:b w:val="false"/>
          <w:i w:val="false"/>
          <w:color w:val="000000"/>
          <w:sz w:val="28"/>
        </w:rPr>
        <w:t>
       31. This Agreement shall enter into force on the date of its signing, and shall remain valid until the end of the last year of purchase of the maintenance service specified in Annex 1 to this Agreement.</w:t>
      </w:r>
    </w:p>
    <w:p>
      <w:pPr>
        <w:spacing w:after="0"/>
        <w:ind w:left="0"/>
        <w:jc w:val="both"/>
      </w:pPr>
      <w:r>
        <w:rPr>
          <w:rFonts w:ascii="Times New Roman"/>
          <w:b w:val="false"/>
          <w:i w:val="false"/>
          <w:color w:val="000000"/>
          <w:sz w:val="28"/>
        </w:rPr>
        <w:t>
       32. The Agreement is made in two copies, in Kazakh and Russian languages, one copy for each Party. Both copies shall have equal legal force.</w:t>
      </w:r>
    </w:p>
    <w:p>
      <w:pPr>
        <w:spacing w:after="0"/>
        <w:ind w:left="0"/>
        <w:jc w:val="left"/>
      </w:pPr>
      <w:r>
        <w:rPr>
          <w:rFonts w:ascii="Times New Roman"/>
          <w:b/>
          <w:i w:val="false"/>
          <w:color w:val="000000"/>
        </w:rPr>
        <w:t xml:space="preserve"> Chapter 10. Legal addresses, bank details and signatures of the Parties </w:t>
      </w:r>
    </w:p>
    <w:p>
      <w:pPr>
        <w:spacing w:after="0"/>
        <w:ind w:left="0"/>
        <w:jc w:val="both"/>
      </w:pPr>
      <w:r>
        <w:rPr>
          <w:rFonts w:ascii="Times New Roman"/>
          <w:b w:val="false"/>
          <w:i w:val="false"/>
          <w:color w:val="000000"/>
          <w:sz w:val="28"/>
        </w:rPr>
        <w:t>
       33. Legal addresses, bank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Sole Procurer </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Telephone:</w:t>
            </w:r>
          </w:p>
          <w:p>
            <w:pPr>
              <w:spacing w:after="20"/>
              <w:ind w:left="20"/>
              <w:jc w:val="both"/>
            </w:pPr>
            <w:r>
              <w:rPr>
                <w:rFonts w:ascii="Times New Roman"/>
                <w:b w:val="false"/>
                <w:i w:val="false"/>
                <w:color w:val="000000"/>
                <w:sz w:val="20"/>
              </w:rPr>
              <w:t>Bank details:</w:t>
            </w:r>
          </w:p>
          <w:p>
            <w:pPr>
              <w:spacing w:after="20"/>
              <w:ind w:left="20"/>
              <w:jc w:val="both"/>
            </w:pPr>
            <w:r>
              <w:rPr>
                <w:rFonts w:ascii="Times New Roman"/>
                <w:b w:val="false"/>
                <w:i w:val="false"/>
                <w:color w:val="000000"/>
                <w:sz w:val="20"/>
              </w:rPr>
              <w:t>_________________surname, name, patronymic</w:t>
            </w:r>
          </w:p>
          <w:p>
            <w:pPr>
              <w:spacing w:after="20"/>
              <w:ind w:left="20"/>
              <w:jc w:val="both"/>
            </w:pPr>
            <w:r>
              <w:rPr>
                <w:rFonts w:ascii="Times New Roman"/>
                <w:b w:val="false"/>
                <w:i w:val="false"/>
                <w:color w:val="000000"/>
                <w:sz w:val="20"/>
              </w:rPr>
              <w:t>(signature)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Entity</w:t>
            </w:r>
          </w:p>
          <w:p>
            <w:pPr>
              <w:spacing w:after="20"/>
              <w:ind w:left="20"/>
              <w:jc w:val="both"/>
            </w:pPr>
            <w:r>
              <w:rPr>
                <w:rFonts w:ascii="Times New Roman"/>
                <w:b w:val="false"/>
                <w:i w:val="false"/>
                <w:color w:val="000000"/>
                <w:sz w:val="20"/>
              </w:rPr>
              <w:t>
Address:</w:t>
            </w:r>
          </w:p>
          <w:p>
            <w:pPr>
              <w:spacing w:after="20"/>
              <w:ind w:left="20"/>
              <w:jc w:val="both"/>
            </w:pPr>
            <w:r>
              <w:rPr>
                <w:rFonts w:ascii="Times New Roman"/>
                <w:b w:val="false"/>
                <w:i w:val="false"/>
                <w:color w:val="000000"/>
                <w:sz w:val="20"/>
              </w:rPr>
              <w:t>Telephone:</w:t>
            </w:r>
          </w:p>
          <w:p>
            <w:pPr>
              <w:spacing w:after="20"/>
              <w:ind w:left="20"/>
              <w:jc w:val="both"/>
            </w:pPr>
            <w:r>
              <w:rPr>
                <w:rFonts w:ascii="Times New Roman"/>
                <w:b w:val="false"/>
                <w:i w:val="false"/>
                <w:color w:val="000000"/>
                <w:sz w:val="20"/>
              </w:rPr>
              <w:t>Bank details:</w:t>
            </w:r>
          </w:p>
          <w:p>
            <w:pPr>
              <w:spacing w:after="20"/>
              <w:ind w:left="20"/>
              <w:jc w:val="both"/>
            </w:pPr>
            <w:r>
              <w:rPr>
                <w:rFonts w:ascii="Times New Roman"/>
                <w:b w:val="false"/>
                <w:i w:val="false"/>
                <w:color w:val="000000"/>
                <w:sz w:val="20"/>
              </w:rPr>
              <w:t>_________________surname, name, patronymic</w:t>
            </w:r>
          </w:p>
          <w:p>
            <w:pPr>
              <w:spacing w:after="20"/>
              <w:ind w:left="20"/>
              <w:jc w:val="both"/>
            </w:pPr>
            <w:r>
              <w:rPr>
                <w:rFonts w:ascii="Times New Roman"/>
                <w:b w:val="false"/>
                <w:i w:val="false"/>
                <w:color w:val="000000"/>
                <w:sz w:val="20"/>
              </w:rPr>
              <w:t>(signature)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model agreement on</w:t>
            </w:r>
            <w:r>
              <w:br/>
            </w:r>
            <w:r>
              <w:rPr>
                <w:rFonts w:ascii="Times New Roman"/>
                <w:b w:val="false"/>
                <w:i w:val="false"/>
                <w:color w:val="000000"/>
                <w:sz w:val="20"/>
              </w:rPr>
              <w:t>procurement of a service for</w:t>
            </w:r>
            <w:r>
              <w:br/>
            </w:r>
            <w:r>
              <w:rPr>
                <w:rFonts w:ascii="Times New Roman"/>
                <w:b w:val="false"/>
                <w:i w:val="false"/>
                <w:color w:val="000000"/>
                <w:sz w:val="20"/>
              </w:rPr>
              <w:t>maintenance of the readiness of</w:t>
            </w:r>
            <w:r>
              <w:br/>
            </w:r>
            <w:r>
              <w:rPr>
                <w:rFonts w:ascii="Times New Roman"/>
                <w:b w:val="false"/>
                <w:i w:val="false"/>
                <w:color w:val="000000"/>
                <w:sz w:val="20"/>
              </w:rPr>
              <w:t>electric capacity with wholesale</w:t>
            </w:r>
            <w:r>
              <w:br/>
            </w:r>
            <w:r>
              <w:rPr>
                <w:rFonts w:ascii="Times New Roman"/>
                <w:b w:val="false"/>
                <w:i w:val="false"/>
                <w:color w:val="000000"/>
                <w:sz w:val="20"/>
              </w:rPr>
              <w:t>market entities included into the</w:t>
            </w:r>
            <w:r>
              <w:br/>
            </w:r>
            <w:r>
              <w:rPr>
                <w:rFonts w:ascii="Times New Roman"/>
                <w:b w:val="false"/>
                <w:i w:val="false"/>
                <w:color w:val="000000"/>
                <w:sz w:val="20"/>
              </w:rPr>
              <w:t>Register of groups of entities</w:t>
            </w:r>
          </w:p>
        </w:tc>
      </w:tr>
    </w:tbl>
    <w:p>
      <w:pPr>
        <w:spacing w:after="0"/>
        <w:ind w:left="0"/>
        <w:jc w:val="left"/>
      </w:pPr>
      <w:r>
        <w:rPr>
          <w:rFonts w:ascii="Times New Roman"/>
          <w:b/>
          <w:i w:val="false"/>
          <w:color w:val="000000"/>
        </w:rPr>
        <w:t xml:space="preserve"> Agreed price (individual tariff), the volume and term of the purchase of the service for</w:t>
      </w:r>
      <w:r>
        <w:br/>
      </w:r>
      <w:r>
        <w:rPr>
          <w:rFonts w:ascii="Times New Roman"/>
          <w:b/>
          <w:i w:val="false"/>
          <w:color w:val="000000"/>
        </w:rPr>
        <w:t>maintenance of the readiness of electric capacity of the Entity by years*</w:t>
      </w:r>
    </w:p>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(individual tariff) for the service for maintenance of the readiness of electric capacity, including VAT, thous.tenge/(MW*month)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service for the service for maintenance of the readiness of electric capacity, MW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procurement of the service for the service for maintenance of the readiness of electric capacity, years***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the numerical values of the parameters of the table are reflected within the accuracy of integers;</w:t>
      </w:r>
    </w:p>
    <w:p>
      <w:pPr>
        <w:spacing w:after="0"/>
        <w:ind w:left="0"/>
        <w:jc w:val="both"/>
      </w:pPr>
      <w:r>
        <w:rPr>
          <w:rFonts w:ascii="Times New Roman"/>
          <w:b w:val="false"/>
          <w:i w:val="false"/>
          <w:color w:val="000000"/>
          <w:sz w:val="28"/>
        </w:rPr>
        <w:t>
       ** - each period from the date of procurement of the service for maintenance of the readiness of electric capacity of the Entity shall be specified in the format: 20___.</w:t>
      </w:r>
    </w:p>
    <w:p>
      <w:pPr>
        <w:spacing w:after="0"/>
        <w:ind w:left="0"/>
        <w:jc w:val="both"/>
      </w:pPr>
      <w:r>
        <w:rPr>
          <w:rFonts w:ascii="Times New Roman"/>
          <w:b w:val="false"/>
          <w:i w:val="false"/>
          <w:color w:val="000000"/>
          <w:sz w:val="28"/>
        </w:rPr>
        <w:t>
       *** - The period of procurement of the service for maintenance of the readiness of electric capacity of the Entity for each its period shall be specified equally in the format: 20___ - 20___.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model agreement on</w:t>
            </w:r>
            <w:r>
              <w:br/>
            </w:r>
            <w:r>
              <w:rPr>
                <w:rFonts w:ascii="Times New Roman"/>
                <w:b w:val="false"/>
                <w:i w:val="false"/>
                <w:color w:val="000000"/>
                <w:sz w:val="20"/>
              </w:rPr>
              <w:t>procurement of a service for</w:t>
            </w:r>
            <w:r>
              <w:br/>
            </w:r>
            <w:r>
              <w:rPr>
                <w:rFonts w:ascii="Times New Roman"/>
                <w:b w:val="false"/>
                <w:i w:val="false"/>
                <w:color w:val="000000"/>
                <w:sz w:val="20"/>
              </w:rPr>
              <w:t>maintenance of the readiness of</w:t>
            </w:r>
            <w:r>
              <w:br/>
            </w:r>
            <w:r>
              <w:rPr>
                <w:rFonts w:ascii="Times New Roman"/>
                <w:b w:val="false"/>
                <w:i w:val="false"/>
                <w:color w:val="000000"/>
                <w:sz w:val="20"/>
              </w:rPr>
              <w:t>electric capacity with wholesale</w:t>
            </w:r>
            <w:r>
              <w:br/>
            </w:r>
            <w:r>
              <w:rPr>
                <w:rFonts w:ascii="Times New Roman"/>
                <w:b w:val="false"/>
                <w:i w:val="false"/>
                <w:color w:val="000000"/>
                <w:sz w:val="20"/>
              </w:rPr>
              <w:t>market entities included into the</w:t>
            </w:r>
            <w:r>
              <w:br/>
            </w:r>
            <w:r>
              <w:rPr>
                <w:rFonts w:ascii="Times New Roman"/>
                <w:b w:val="false"/>
                <w:i w:val="false"/>
                <w:color w:val="000000"/>
                <w:sz w:val="20"/>
              </w:rPr>
              <w:t>Register of groups of entities</w:t>
            </w:r>
          </w:p>
        </w:tc>
      </w:tr>
    </w:tbl>
    <w:p>
      <w:pPr>
        <w:spacing w:after="0"/>
        <w:ind w:left="0"/>
        <w:jc w:val="left"/>
      </w:pPr>
      <w:r>
        <w:rPr>
          <w:rFonts w:ascii="Times New Roman"/>
          <w:b/>
          <w:i w:val="false"/>
          <w:color w:val="000000"/>
        </w:rPr>
        <w:t xml:space="preserve"> Maximum value of electric capacity of own consumption, maximum electric capacity of</w:t>
      </w:r>
      <w:r>
        <w:br/>
      </w:r>
      <w:r>
        <w:rPr>
          <w:rFonts w:ascii="Times New Roman"/>
          <w:b/>
          <w:i w:val="false"/>
          <w:color w:val="000000"/>
        </w:rPr>
        <w:t>supplies to the wholesale market entities and maximum electric capacity of the</w:t>
      </w:r>
      <w:r>
        <w:br/>
      </w:r>
      <w:r>
        <w:rPr>
          <w:rFonts w:ascii="Times New Roman"/>
          <w:b/>
          <w:i w:val="false"/>
          <w:color w:val="000000"/>
        </w:rPr>
        <w:t>Entity’s export by years.*</w:t>
      </w:r>
    </w:p>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 of electric capacity of own consumption,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electric capacity of supplies to the wholesale market entities, MW</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electric capacity of export, MW</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in the target year value of electric capacity of supplies to the consumers, being the wholesale market entities, and included with the Entity into one group of entities, included into the Register, MW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value of electric capacity of own needs of electric power plants, MW***</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the numerical values of the parameters of the table are reflected within the accuracy of integers.</w:t>
      </w:r>
    </w:p>
    <w:p>
      <w:pPr>
        <w:spacing w:after="0"/>
        <w:ind w:left="0"/>
        <w:jc w:val="both"/>
      </w:pPr>
      <w:r>
        <w:rPr>
          <w:rFonts w:ascii="Times New Roman"/>
          <w:b w:val="false"/>
          <w:i w:val="false"/>
          <w:color w:val="000000"/>
          <w:sz w:val="28"/>
        </w:rPr>
        <w:t>
       ** - periods must comply with the periods, reflected in annex 1 to this Agreement, and shall be specified in the format: 20___ г.</w:t>
      </w:r>
    </w:p>
    <w:p>
      <w:pPr>
        <w:spacing w:after="0"/>
        <w:ind w:left="0"/>
        <w:jc w:val="both"/>
      </w:pPr>
      <w:r>
        <w:rPr>
          <w:rFonts w:ascii="Times New Roman"/>
          <w:b w:val="false"/>
          <w:i w:val="false"/>
          <w:color w:val="000000"/>
          <w:sz w:val="28"/>
        </w:rPr>
        <w:t>
       *** - the maximum value of the electric capacity of own needs of electric power plants of the Entity, which includes both the maximum value of the electrical capacity of all the needs of power plants of the Entity, and the corresponding maximum value of the electrical capacity of all economic and production needs of these electric power plants of the Entity.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