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393f" w14:textId="0cc3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recall of a military person of the Armed Forces of the Republic of Kazakhstan from annual basic leave for operational reasons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November 9, 2018 No. 787. Registered with the Ministry of Justice of the Republic of Kazakhstan on December 10, 2018 No. 17906.</w:t>
      </w:r>
    </w:p>
    <w:p>
      <w:pPr>
        <w:spacing w:after="0"/>
        <w:ind w:left="0"/>
        <w:jc w:val="both"/>
      </w:pPr>
      <w:r>
        <w:rPr>
          <w:rFonts w:ascii="Times New Roman"/>
          <w:b w:val="false"/>
          <w:i w:val="false"/>
          <w:color w:val="ff0000"/>
          <w:sz w:val="28"/>
        </w:rPr>
        <w:t xml:space="preserve">
      Unofficial translation </w:t>
      </w:r>
    </w:p>
    <w:p>
      <w:pPr>
        <w:spacing w:after="0"/>
        <w:ind w:left="0"/>
        <w:jc w:val="both"/>
      </w:pPr>
      <w:r>
        <w:rPr>
          <w:rFonts w:ascii="Times New Roman"/>
          <w:b w:val="false"/>
          <w:i w:val="false"/>
          <w:color w:val="000000"/>
          <w:sz w:val="28"/>
        </w:rPr>
        <w:t xml:space="preserve">
      In accordance with paragraph 139 of the Rules of Military Service in the Armed Forces, Other Troops and Military Formations of the Republic of Kazakhstan, approved by Decree № 124 of the President of the Republic of Kazakhstan as of May 25, 2006,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appended Rules for Recall of a Military Person of the Armed Forces of the Republic of Kazakhstan from Annual Basic Leave for Operational Reasons.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Personnel and Military Education of the Ministry of Defense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its copy in the Kazakh and Russian languages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p>
      <w:pPr>
        <w:spacing w:after="0"/>
        <w:ind w:left="0"/>
        <w:jc w:val="both"/>
      </w:pPr>
      <w:r>
        <w:rPr>
          <w:rFonts w:ascii="Times New Roman"/>
          <w:b w:val="false"/>
          <w:i w:val="false"/>
          <w:color w:val="000000"/>
          <w:sz w:val="28"/>
        </w:rPr>
        <w:t>
      4) within ten working days of the state registration, submit information on the implementation of measures, provided for in subparagraphs 1), 2) and 3) of this paragraph, to the Legal Department of the Ministry of Defense of the Republic of Kazakhstan.</w:t>
      </w:r>
    </w:p>
    <w:p>
      <w:pPr>
        <w:spacing w:after="0"/>
        <w:ind w:left="0"/>
        <w:jc w:val="both"/>
      </w:pPr>
      <w:r>
        <w:rPr>
          <w:rFonts w:ascii="Times New Roman"/>
          <w:b w:val="false"/>
          <w:i w:val="false"/>
          <w:color w:val="000000"/>
          <w:sz w:val="28"/>
        </w:rPr>
        <w:t>
      3. Control over execution of this order shall be entrusted to the Head of the Personnel Department of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Defense of the Republic of Kazakhstan dated 15.01.2024 № 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This order shall be brought to the notice of officials to the extent it is applicable to them.</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Defense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787 of the Minister of</w:t>
            </w:r>
            <w:r>
              <w:br/>
            </w:r>
            <w:r>
              <w:rPr>
                <w:rFonts w:ascii="Times New Roman"/>
                <w:b w:val="false"/>
                <w:i w:val="false"/>
                <w:color w:val="000000"/>
                <w:sz w:val="20"/>
              </w:rPr>
              <w:t>Defense of the</w:t>
            </w:r>
            <w:r>
              <w:br/>
            </w:r>
            <w:r>
              <w:rPr>
                <w:rFonts w:ascii="Times New Roman"/>
                <w:b w:val="false"/>
                <w:i w:val="false"/>
                <w:color w:val="000000"/>
                <w:sz w:val="20"/>
              </w:rPr>
              <w:t>Republic of Kazakhstan</w:t>
            </w:r>
            <w:r>
              <w:br/>
            </w:r>
            <w:r>
              <w:rPr>
                <w:rFonts w:ascii="Times New Roman"/>
                <w:b w:val="false"/>
                <w:i w:val="false"/>
                <w:color w:val="000000"/>
                <w:sz w:val="20"/>
              </w:rPr>
              <w:t>as of November 9, 2018</w:t>
            </w:r>
          </w:p>
        </w:tc>
      </w:tr>
    </w:tbl>
    <w:p>
      <w:pPr>
        <w:spacing w:after="0"/>
        <w:ind w:left="0"/>
        <w:jc w:val="left"/>
      </w:pPr>
      <w:r>
        <w:rPr>
          <w:rFonts w:ascii="Times New Roman"/>
          <w:b/>
          <w:i w:val="false"/>
          <w:color w:val="000000"/>
        </w:rPr>
        <w:t xml:space="preserve"> Rules for Recall of a Military Person of the Armed Forces of the Republic of Kazakhstan</w:t>
      </w:r>
      <w:r>
        <w:br/>
      </w:r>
      <w:r>
        <w:rPr>
          <w:rFonts w:ascii="Times New Roman"/>
          <w:b/>
          <w:i w:val="false"/>
          <w:color w:val="000000"/>
        </w:rPr>
        <w:t>from Annual Basic Leave for Operational Reasons</w:t>
      </w:r>
    </w:p>
    <w:p>
      <w:pPr>
        <w:spacing w:after="0"/>
        <w:ind w:left="0"/>
        <w:jc w:val="both"/>
      </w:pPr>
      <w:r>
        <w:rPr>
          <w:rFonts w:ascii="Times New Roman"/>
          <w:b w:val="false"/>
          <w:i w:val="false"/>
          <w:color w:val="000000"/>
          <w:sz w:val="28"/>
        </w:rPr>
        <w:t>
      1. These Rules for Recall of a Military Person of the Armed Forces of the Republic of Kazakhstan from Annual Basic Leave for Operational Reasons (hereinafter referred to as the Rules) are developed in accordance with paragraph 139 of the Rules of Military Service in the Armed Forces, Other Troops and Military Formations of the Republic of Kazakhstan, approved by Decree of the President of the Republic of Kazakhstan № 124 as of May 25, 2006 (hereinafter referred to as the Rules of Military Service) and determine the procedure for recalling a military person of the Armed Forces of the Republic of Kazakhstan (hereinafter referred to as a military person) from annual basic leave (hereinafter referred to as a leave) for operational reasons.</w:t>
      </w:r>
    </w:p>
    <w:p>
      <w:pPr>
        <w:spacing w:after="0"/>
        <w:ind w:left="0"/>
        <w:jc w:val="both"/>
      </w:pPr>
      <w:r>
        <w:rPr>
          <w:rFonts w:ascii="Times New Roman"/>
          <w:b w:val="false"/>
          <w:i w:val="false"/>
          <w:color w:val="000000"/>
          <w:sz w:val="28"/>
        </w:rPr>
        <w:t>
      2. A military person may be recalled from a leave for operational reasons by a notification from the command of a unit (institution).</w:t>
      </w:r>
    </w:p>
    <w:p>
      <w:pPr>
        <w:spacing w:after="0"/>
        <w:ind w:left="0"/>
        <w:jc w:val="both"/>
      </w:pPr>
      <w:r>
        <w:rPr>
          <w:rFonts w:ascii="Times New Roman"/>
          <w:b w:val="false"/>
          <w:i w:val="false"/>
          <w:color w:val="000000"/>
          <w:sz w:val="28"/>
        </w:rPr>
        <w:t>
      3. An order (instruction) to recall from a leave due to the needs of service shall be communicated to a military person orally on behalf of the commander (chief) of a military unit (institution) by an official to whom he/she is directly subordinate, indicating a reason for recall. In cases where it is impossible to communicate an oral order (instruction) to a serviceman, the headquarters of the military unit (institution) shall notify the body where the military person registers for military service, in accordance with paragraph 113 of the Rules for doing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Defense of the Republic of Kazakhstan dated 15.01.2024 № 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Recall of a military person from a leave due to the need of service shall be carried out on the following grounds:</w:t>
      </w:r>
    </w:p>
    <w:p>
      <w:pPr>
        <w:spacing w:after="0"/>
        <w:ind w:left="0"/>
        <w:jc w:val="both"/>
      </w:pPr>
      <w:r>
        <w:rPr>
          <w:rFonts w:ascii="Times New Roman"/>
          <w:b w:val="false"/>
          <w:i w:val="false"/>
          <w:color w:val="000000"/>
          <w:sz w:val="28"/>
        </w:rPr>
        <w:t>
      in case of natural or man-made disasters in the locations of the element of a military unit (institution) or in areas of compact settlement of family members of military persons;</w:t>
      </w:r>
    </w:p>
    <w:p>
      <w:pPr>
        <w:spacing w:after="0"/>
        <w:ind w:left="0"/>
        <w:jc w:val="both"/>
      </w:pPr>
      <w:r>
        <w:rPr>
          <w:rFonts w:ascii="Times New Roman"/>
          <w:b w:val="false"/>
          <w:i w:val="false"/>
          <w:color w:val="000000"/>
          <w:sz w:val="28"/>
        </w:rPr>
        <w:t>
      in case of redeployment of an element or a military unit (institution);</w:t>
      </w:r>
    </w:p>
    <w:p>
      <w:pPr>
        <w:spacing w:after="0"/>
        <w:ind w:left="0"/>
        <w:jc w:val="both"/>
      </w:pPr>
      <w:r>
        <w:rPr>
          <w:rFonts w:ascii="Times New Roman"/>
          <w:b w:val="false"/>
          <w:i w:val="false"/>
          <w:color w:val="000000"/>
          <w:sz w:val="28"/>
        </w:rPr>
        <w:t xml:space="preserve">
      in case of emergencies in a military unit (institution), such as death of a military person, absence without official leave by a group of military persons, loss of carriers of data that constitute state secrets, weapons, equipment, material or financial assets, large-scale bullying; </w:t>
      </w:r>
    </w:p>
    <w:p>
      <w:pPr>
        <w:spacing w:after="0"/>
        <w:ind w:left="0"/>
        <w:jc w:val="both"/>
      </w:pPr>
      <w:r>
        <w:rPr>
          <w:rFonts w:ascii="Times New Roman"/>
          <w:b w:val="false"/>
          <w:i w:val="false"/>
          <w:color w:val="000000"/>
          <w:sz w:val="28"/>
        </w:rPr>
        <w:t>
      in case of organizational and staffing activities in a military unit (institution), if the time for switching to new staff is up before a military person’s return from leave;</w:t>
      </w:r>
    </w:p>
    <w:p>
      <w:pPr>
        <w:spacing w:after="0"/>
        <w:ind w:left="0"/>
        <w:jc w:val="both"/>
      </w:pPr>
      <w:r>
        <w:rPr>
          <w:rFonts w:ascii="Times New Roman"/>
          <w:b w:val="false"/>
          <w:i w:val="false"/>
          <w:color w:val="000000"/>
          <w:sz w:val="28"/>
        </w:rPr>
        <w:t>
      in case of the surprise check of combat readiness of a military unit (institution) by commissions of the Office of Inspector General of the Ministry of Defense of the Republic of Kazakhstan or by officials appointed by the Minister of Defense of the Republic of Kazakhstan, or by the chief of the General Staff of the Armed Forces of the Republic of Kazakhstan, in keeping with the plan of surprise checks, if it provides for the recall of a military person;</w:t>
      </w:r>
    </w:p>
    <w:p>
      <w:pPr>
        <w:spacing w:after="0"/>
        <w:ind w:left="0"/>
        <w:jc w:val="both"/>
      </w:pPr>
      <w:r>
        <w:rPr>
          <w:rFonts w:ascii="Times New Roman"/>
          <w:b w:val="false"/>
          <w:i w:val="false"/>
          <w:color w:val="000000"/>
          <w:sz w:val="28"/>
        </w:rPr>
        <w:t>
      in cases of the need of service based on the decision of the Minister of Defense of the Republic of Kazakhstan – the Head of the General Headquarters of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Defense of the Republic of Kazakhstan dated 15.01.2024 № 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part of leave unused in connection with the recall shall be granted to a military person in accordance with paragraph 122 of the Rules of Military Service.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