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013b" w14:textId="d0e0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calculating the zoning coefficient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November 12, 2018 No. 475. Registered with the Ministry of Justice of the Republic of Kazakhstan on November 30, 2018 No. 17847.</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part 6 of Article 529 of the Code of the Republic of Kazakhstan “On Taxes and Other Obligatory Payments to the Budget” (the Tax Code) as of December 25, 2017, I hereby </w:t>
      </w:r>
      <w:r>
        <w:rPr>
          <w:rFonts w:ascii="Times New Roman"/>
          <w:b/>
          <w:i w:val="false"/>
          <w:color w:val="000000"/>
          <w:sz w:val="28"/>
        </w:rPr>
        <w:t>ORDER:</w:t>
      </w:r>
    </w:p>
    <w:p>
      <w:pPr>
        <w:spacing w:after="0"/>
        <w:ind w:left="0"/>
        <w:jc w:val="both"/>
      </w:pPr>
      <w:r>
        <w:rPr>
          <w:rFonts w:ascii="Times New Roman"/>
          <w:b w:val="false"/>
          <w:i w:val="false"/>
          <w:color w:val="000000"/>
          <w:sz w:val="28"/>
        </w:rPr>
        <w:t>
       1. To approve the appended Methodology for calculating the zoning coefficient.</w:t>
      </w:r>
    </w:p>
    <w:p>
      <w:pPr>
        <w:spacing w:after="0"/>
        <w:ind w:left="0"/>
        <w:jc w:val="both"/>
      </w:pPr>
      <w:r>
        <w:rPr>
          <w:rFonts w:ascii="Times New Roman"/>
          <w:b w:val="false"/>
          <w:i w:val="false"/>
          <w:color w:val="000000"/>
          <w:sz w:val="28"/>
        </w:rPr>
        <w:t>
       2. To invalidate Order № 55 of the Minister of Investments and Development of the Republic of Kazakhstan “On Approval of the Methodology for Calculating the Zoning Coefficient” as of January 22, 2016 года (registered in the Register of State Registration of Regulatory Legal Acts under № 13285, published in the “Adilet” Information and Legal System on February 26, 2016).</w:t>
      </w:r>
    </w:p>
    <w:p>
      <w:pPr>
        <w:spacing w:after="0"/>
        <w:ind w:left="0"/>
        <w:jc w:val="both"/>
      </w:pPr>
      <w:r>
        <w:rPr>
          <w:rFonts w:ascii="Times New Roman"/>
          <w:b w:val="false"/>
          <w:i w:val="false"/>
          <w:color w:val="000000"/>
          <w:sz w:val="28"/>
        </w:rPr>
        <w:t>
       3. The “Electronic Government” Development Department of the Ministry of Information and Communications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Information and Communications of the Republic of Kazakhstan;</w:t>
      </w:r>
    </w:p>
    <w:p>
      <w:pPr>
        <w:spacing w:after="0"/>
        <w:ind w:left="0"/>
        <w:jc w:val="both"/>
      </w:pPr>
      <w:r>
        <w:rPr>
          <w:rFonts w:ascii="Times New Roman"/>
          <w:b w:val="false"/>
          <w:i w:val="false"/>
          <w:color w:val="000000"/>
          <w:sz w:val="28"/>
        </w:rPr>
        <w:t>
       4) within ten working days of the state registration of this order, submit information on the implementation of measures, provided for in subparagraphs 1), 2) and 3) of this paragraph, to the Legal Department of the Ministry of Information and Communications.</w:t>
      </w:r>
    </w:p>
    <w:p>
      <w:pPr>
        <w:spacing w:after="0"/>
        <w:ind w:left="0"/>
        <w:jc w:val="both"/>
      </w:pPr>
      <w:r>
        <w:rPr>
          <w:rFonts w:ascii="Times New Roman"/>
          <w:b w:val="false"/>
          <w:i w:val="false"/>
          <w:color w:val="000000"/>
          <w:sz w:val="28"/>
        </w:rPr>
        <w:t>
       4. Control over execution of this order shall be entrusted to the supervising vice-minister of nformation and Communications of the Republic of Kazakhstan.</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Communications of</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475 of the Minister of</w:t>
            </w:r>
            <w:r>
              <w:br/>
            </w:r>
            <w:r>
              <w:rPr>
                <w:rFonts w:ascii="Times New Roman"/>
                <w:b w:val="false"/>
                <w:i w:val="false"/>
                <w:color w:val="000000"/>
                <w:sz w:val="20"/>
              </w:rPr>
              <w:t>Information and Communications</w:t>
            </w:r>
            <w:r>
              <w:br/>
            </w:r>
            <w:r>
              <w:rPr>
                <w:rFonts w:ascii="Times New Roman"/>
                <w:b w:val="false"/>
                <w:i w:val="false"/>
                <w:color w:val="000000"/>
                <w:sz w:val="20"/>
              </w:rPr>
              <w:t>of the Republic of Kazakhstan</w:t>
            </w:r>
            <w:r>
              <w:br/>
            </w:r>
            <w:r>
              <w:rPr>
                <w:rFonts w:ascii="Times New Roman"/>
                <w:b w:val="false"/>
                <w:i w:val="false"/>
                <w:color w:val="000000"/>
                <w:sz w:val="20"/>
              </w:rPr>
              <w:t>as of November 12, 2018</w:t>
            </w:r>
          </w:p>
        </w:tc>
      </w:tr>
    </w:tbl>
    <w:p>
      <w:pPr>
        <w:spacing w:after="0"/>
        <w:ind w:left="0"/>
        <w:jc w:val="left"/>
      </w:pPr>
      <w:r>
        <w:rPr>
          <w:rFonts w:ascii="Times New Roman"/>
          <w:b/>
          <w:i w:val="false"/>
          <w:color w:val="000000"/>
        </w:rPr>
        <w:t xml:space="preserve"> The methodology for calculating the zoning coefficient</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This Methodology for calculating the zoning coefficient (hereinafter referred to as the Methodology) is developed in accordance with the Code of the Republic of Kazakhstan “On Taxes and Other Obligatory Payments to the Budget” (the Tax Code) as of December 25, 2017 (hereinafter referred to as the Code).</w:t>
      </w:r>
    </w:p>
    <w:p>
      <w:pPr>
        <w:spacing w:after="0"/>
        <w:ind w:left="0"/>
        <w:jc w:val="both"/>
      </w:pPr>
      <w:r>
        <w:rPr>
          <w:rFonts w:ascii="Times New Roman"/>
          <w:b w:val="false"/>
          <w:i w:val="false"/>
          <w:color w:val="000000"/>
          <w:sz w:val="28"/>
        </w:rPr>
        <w:t xml:space="preserve">
       2. This Methodology establishes the procedure for the calculation of the zoning coefficient, which is applied in the calculation of the value of items of immovable property of individuals not used in the entrepreneurial activity for tax purposes, according to Article 529 of the Tax Code. </w:t>
      </w:r>
    </w:p>
    <w:p>
      <w:pPr>
        <w:spacing w:after="0"/>
        <w:ind w:left="0"/>
        <w:jc w:val="both"/>
      </w:pPr>
      <w:r>
        <w:rPr>
          <w:rFonts w:ascii="Times New Roman"/>
          <w:b w:val="false"/>
          <w:i w:val="false"/>
          <w:color w:val="000000"/>
          <w:sz w:val="28"/>
        </w:rPr>
        <w:t>
       3. The following terms and definitions are used in this Methodology:</w:t>
      </w:r>
    </w:p>
    <w:p>
      <w:pPr>
        <w:spacing w:after="0"/>
        <w:ind w:left="0"/>
        <w:jc w:val="both"/>
      </w:pPr>
      <w:r>
        <w:rPr>
          <w:rFonts w:ascii="Times New Roman"/>
          <w:b w:val="false"/>
          <w:i w:val="false"/>
          <w:color w:val="000000"/>
          <w:sz w:val="28"/>
        </w:rPr>
        <w:t>
       1) a special legal status zone - a special economic zone, a specially protected natural area;</w:t>
      </w:r>
    </w:p>
    <w:p>
      <w:pPr>
        <w:spacing w:after="0"/>
        <w:ind w:left="0"/>
        <w:jc w:val="both"/>
      </w:pPr>
      <w:r>
        <w:rPr>
          <w:rFonts w:ascii="Times New Roman"/>
          <w:b w:val="false"/>
          <w:i w:val="false"/>
          <w:color w:val="000000"/>
          <w:sz w:val="28"/>
        </w:rPr>
        <w:t>
       2) the value of taxable items of individuals - the value calculated in accordance with parts 1 and 3 of Article 529 of the Tax Code;</w:t>
      </w:r>
    </w:p>
    <w:p>
      <w:pPr>
        <w:spacing w:after="0"/>
        <w:ind w:left="0"/>
        <w:jc w:val="both"/>
      </w:pPr>
      <w:r>
        <w:rPr>
          <w:rFonts w:ascii="Times New Roman"/>
          <w:b w:val="false"/>
          <w:i w:val="false"/>
          <w:color w:val="000000"/>
          <w:sz w:val="28"/>
        </w:rPr>
        <w:t>
       3) social facilities of citywide, district significance — secondary schools, kindergartens, health, cultural, arts, sports facilities, enterprises of trade, catering and household services of local significance.</w:t>
      </w:r>
    </w:p>
    <w:p>
      <w:pPr>
        <w:spacing w:after="0"/>
        <w:ind w:left="0"/>
        <w:jc w:val="both"/>
      </w:pPr>
      <w:r>
        <w:rPr>
          <w:rFonts w:ascii="Times New Roman"/>
          <w:b w:val="false"/>
          <w:i w:val="false"/>
          <w:color w:val="000000"/>
          <w:sz w:val="28"/>
        </w:rPr>
        <w:t>
       4. The calculation of the zoning coefficient provides for implementation of a series of consecutive interrelated actions:</w:t>
      </w:r>
    </w:p>
    <w:p>
      <w:pPr>
        <w:spacing w:after="0"/>
        <w:ind w:left="0"/>
        <w:jc w:val="both"/>
      </w:pPr>
      <w:r>
        <w:rPr>
          <w:rFonts w:ascii="Times New Roman"/>
          <w:b w:val="false"/>
          <w:i w:val="false"/>
          <w:color w:val="000000"/>
          <w:sz w:val="28"/>
        </w:rPr>
        <w:t xml:space="preserve">
       1) the coefficient is calculated for appraised zones established in accordance with Article 8 of the Land Code of the Republic of Kazakhstan as of June 20, 2003, within the limits of which all the facilities must have their own identification (cadastral) number. Zones’ boundaries shall be clearly fixed by the names of streets, micro-districts, blocks with the help of cadastral maps of reference blocks of a city, a populated locality. </w:t>
      </w:r>
    </w:p>
    <w:p>
      <w:pPr>
        <w:spacing w:after="0"/>
        <w:ind w:left="0"/>
        <w:jc w:val="both"/>
      </w:pPr>
      <w:r>
        <w:rPr>
          <w:rFonts w:ascii="Times New Roman"/>
          <w:b w:val="false"/>
          <w:i w:val="false"/>
          <w:color w:val="000000"/>
          <w:sz w:val="28"/>
        </w:rPr>
        <w:t>
       If zones’ boundaries are not fixed by streets, the boundary of the appraised zone shall be strictly drawn by the numbers of houses, with the indication of their identification (cadastral) numbers or codes in the “Address Register” State Database;</w:t>
      </w:r>
    </w:p>
    <w:p>
      <w:pPr>
        <w:spacing w:after="0"/>
        <w:ind w:left="0"/>
        <w:jc w:val="both"/>
      </w:pPr>
      <w:r>
        <w:rPr>
          <w:rFonts w:ascii="Times New Roman"/>
          <w:b w:val="false"/>
          <w:i w:val="false"/>
          <w:color w:val="000000"/>
          <w:sz w:val="28"/>
        </w:rPr>
        <w:t>
       2) identification of a set of factors influencing the value of items subject to personal property tax and determination of quantitative values of these factors;</w:t>
      </w:r>
    </w:p>
    <w:p>
      <w:pPr>
        <w:spacing w:after="0"/>
        <w:ind w:left="0"/>
        <w:jc w:val="both"/>
      </w:pPr>
      <w:r>
        <w:rPr>
          <w:rFonts w:ascii="Times New Roman"/>
          <w:b w:val="false"/>
          <w:i w:val="false"/>
          <w:color w:val="000000"/>
          <w:sz w:val="28"/>
        </w:rPr>
        <w:t>
       3) identification of influencing factors for each appraised plot, application of the factors to the appraised plot and amendment of the latter’s boundary;</w:t>
      </w:r>
    </w:p>
    <w:p>
      <w:pPr>
        <w:spacing w:after="0"/>
        <w:ind w:left="0"/>
        <w:jc w:val="both"/>
      </w:pPr>
      <w:r>
        <w:rPr>
          <w:rFonts w:ascii="Times New Roman"/>
          <w:b w:val="false"/>
          <w:i w:val="false"/>
          <w:color w:val="000000"/>
          <w:sz w:val="28"/>
        </w:rPr>
        <w:t xml:space="preserve">
       4) calculation of the zoning factor for the purposes of determining the value of items subject to personal property tax for each appraised plot. </w:t>
      </w:r>
    </w:p>
    <w:p>
      <w:pPr>
        <w:spacing w:after="0"/>
        <w:ind w:left="0"/>
        <w:jc w:val="both"/>
      </w:pPr>
      <w:r>
        <w:rPr>
          <w:rFonts w:ascii="Times New Roman"/>
          <w:b w:val="false"/>
          <w:i w:val="false"/>
          <w:color w:val="000000"/>
          <w:sz w:val="28"/>
        </w:rPr>
        <w:t>
       5. When calculating the zoning coefficient to determine the value of items subject to personal property tax, it is necessary to use technical documentation from the archive of the authorized body for registration of rights to immovable property, and it is also allowed to use:</w:t>
      </w:r>
    </w:p>
    <w:p>
      <w:pPr>
        <w:spacing w:after="0"/>
        <w:ind w:left="0"/>
        <w:jc w:val="both"/>
      </w:pPr>
      <w:r>
        <w:rPr>
          <w:rFonts w:ascii="Times New Roman"/>
          <w:b w:val="false"/>
          <w:i w:val="false"/>
          <w:color w:val="000000"/>
          <w:sz w:val="28"/>
        </w:rPr>
        <w:t>
       1) state electronic databases;</w:t>
      </w:r>
    </w:p>
    <w:p>
      <w:pPr>
        <w:spacing w:after="0"/>
        <w:ind w:left="0"/>
        <w:jc w:val="both"/>
      </w:pPr>
      <w:r>
        <w:rPr>
          <w:rFonts w:ascii="Times New Roman"/>
          <w:b w:val="false"/>
          <w:i w:val="false"/>
          <w:color w:val="000000"/>
          <w:sz w:val="28"/>
        </w:rPr>
        <w:t>
       2) acts of local executive bodies of cities, districts, townships, villages concerning land use, valuation and taxation.</w:t>
      </w:r>
    </w:p>
    <w:p>
      <w:pPr>
        <w:spacing w:after="0"/>
        <w:ind w:left="0"/>
        <w:jc w:val="left"/>
      </w:pPr>
      <w:r>
        <w:rPr>
          <w:rFonts w:ascii="Times New Roman"/>
          <w:b/>
          <w:i w:val="false"/>
          <w:color w:val="000000"/>
        </w:rPr>
        <w:t xml:space="preserve"> Chapter 2. Names of factors and sub-factors of the relative value of immovable property</w:t>
      </w:r>
    </w:p>
    <w:p>
      <w:pPr>
        <w:spacing w:after="0"/>
        <w:ind w:left="0"/>
        <w:jc w:val="both"/>
      </w:pPr>
      <w:r>
        <w:rPr>
          <w:rFonts w:ascii="Times New Roman"/>
          <w:b w:val="false"/>
          <w:i w:val="false"/>
          <w:color w:val="000000"/>
          <w:sz w:val="28"/>
        </w:rPr>
        <w:t xml:space="preserve">
       6. Factors of the relative value of an area are applied to appraised plots. In this case, one shall take into account the influence of such factors as: </w:t>
      </w:r>
    </w:p>
    <w:p>
      <w:pPr>
        <w:spacing w:after="0"/>
        <w:ind w:left="0"/>
        <w:jc w:val="both"/>
      </w:pPr>
      <w:r>
        <w:rPr>
          <w:rFonts w:ascii="Times New Roman"/>
          <w:b w:val="false"/>
          <w:i w:val="false"/>
          <w:color w:val="000000"/>
          <w:sz w:val="28"/>
        </w:rPr>
        <w:t>
       1) accessibility of the center of a city, district, township, village to the population;</w:t>
      </w:r>
    </w:p>
    <w:p>
      <w:pPr>
        <w:spacing w:after="0"/>
        <w:ind w:left="0"/>
        <w:jc w:val="both"/>
      </w:pPr>
      <w:r>
        <w:rPr>
          <w:rFonts w:ascii="Times New Roman"/>
          <w:b w:val="false"/>
          <w:i w:val="false"/>
          <w:color w:val="000000"/>
          <w:sz w:val="28"/>
        </w:rPr>
        <w:t>
       2) centralized engineering equipment and landscaping, transport accessibility;</w:t>
      </w:r>
    </w:p>
    <w:p>
      <w:pPr>
        <w:spacing w:after="0"/>
        <w:ind w:left="0"/>
        <w:jc w:val="both"/>
      </w:pPr>
      <w:r>
        <w:rPr>
          <w:rFonts w:ascii="Times New Roman"/>
          <w:b w:val="false"/>
          <w:i w:val="false"/>
          <w:color w:val="000000"/>
          <w:sz w:val="28"/>
        </w:rPr>
        <w:t>
       3) social facilities of citywide, district significance within the boundaries of an appraised zone;</w:t>
      </w:r>
    </w:p>
    <w:p>
      <w:pPr>
        <w:spacing w:after="0"/>
        <w:ind w:left="0"/>
        <w:jc w:val="both"/>
      </w:pPr>
      <w:r>
        <w:rPr>
          <w:rFonts w:ascii="Times New Roman"/>
          <w:b w:val="false"/>
          <w:i w:val="false"/>
          <w:color w:val="000000"/>
          <w:sz w:val="28"/>
        </w:rPr>
        <w:t>
       4) special legal status zones;</w:t>
      </w:r>
    </w:p>
    <w:p>
      <w:pPr>
        <w:spacing w:after="0"/>
        <w:ind w:left="0"/>
        <w:jc w:val="both"/>
      </w:pPr>
      <w:r>
        <w:rPr>
          <w:rFonts w:ascii="Times New Roman"/>
          <w:b w:val="false"/>
          <w:i w:val="false"/>
          <w:color w:val="000000"/>
          <w:sz w:val="28"/>
        </w:rPr>
        <w:t>
       5) the state of the environment, sanitary and microclimatic conditions;</w:t>
      </w:r>
    </w:p>
    <w:p>
      <w:pPr>
        <w:spacing w:after="0"/>
        <w:ind w:left="0"/>
        <w:jc w:val="both"/>
      </w:pPr>
      <w:r>
        <w:rPr>
          <w:rFonts w:ascii="Times New Roman"/>
          <w:b w:val="false"/>
          <w:i w:val="false"/>
          <w:color w:val="000000"/>
          <w:sz w:val="28"/>
        </w:rPr>
        <w:t xml:space="preserve">
       6) engineering and geological conditions for construction and the degree of exposure to destructive natural and other impacts. </w:t>
      </w:r>
    </w:p>
    <w:p>
      <w:pPr>
        <w:spacing w:after="0"/>
        <w:ind w:left="0"/>
        <w:jc w:val="both"/>
      </w:pPr>
      <w:r>
        <w:rPr>
          <w:rFonts w:ascii="Times New Roman"/>
          <w:b w:val="false"/>
          <w:i w:val="false"/>
          <w:color w:val="000000"/>
          <w:sz w:val="28"/>
        </w:rPr>
        <w:t xml:space="preserve">
       7. In order to determine the zoning coefficient, its influence on the value of items of immovable property (populated area), individual sub-factors are distinguished within them. Groups, factors and sub-factors of the relative value of immovable property and their values are given in the appendix to this Methodology. </w:t>
      </w:r>
    </w:p>
    <w:p>
      <w:pPr>
        <w:spacing w:after="0"/>
        <w:ind w:left="0"/>
        <w:jc w:val="both"/>
      </w:pPr>
      <w:r>
        <w:rPr>
          <w:rFonts w:ascii="Times New Roman"/>
          <w:b w:val="false"/>
          <w:i w:val="false"/>
          <w:color w:val="000000"/>
          <w:sz w:val="28"/>
        </w:rPr>
        <w:t>
       8. The influence of factors of the first group is determined by pedestrian accessibility of stopping places of urban and suburban passenger transport and centers of a city and a district, including places where services are provided by public centers of the city and the district.</w:t>
      </w:r>
    </w:p>
    <w:p>
      <w:pPr>
        <w:spacing w:after="0"/>
        <w:ind w:left="0"/>
        <w:jc w:val="both"/>
      </w:pPr>
      <w:r>
        <w:rPr>
          <w:rFonts w:ascii="Times New Roman"/>
          <w:b w:val="false"/>
          <w:i w:val="false"/>
          <w:color w:val="000000"/>
          <w:sz w:val="28"/>
        </w:rPr>
        <w:t xml:space="preserve">
       The value of the coefficients of factors and sub-factors of the second group are adopted in accordance with the share of the cost of engineering equipment (by type) of a city, district, township, village, and also with account of provision with public transport. </w:t>
      </w:r>
      <w:r>
        <w:br/>
      </w:r>
      <w:r>
        <w:rPr>
          <w:rFonts w:ascii="Times New Roman"/>
          <w:b w:val="false"/>
          <w:i w:val="false"/>
          <w:color w:val="000000"/>
          <w:sz w:val="28"/>
        </w:rPr>
        <w:t xml:space="preserve"> As with the second group, the value of the coefficients of factors and sub-factors of the third group are calculated on the basis of the share of the cost of certain types of cultural and household-service facilities for daily use within the total cost of residential development.</w:t>
      </w:r>
    </w:p>
    <w:p>
      <w:pPr>
        <w:spacing w:after="0"/>
        <w:ind w:left="0"/>
        <w:jc w:val="both"/>
      </w:pPr>
      <w:r>
        <w:rPr>
          <w:rFonts w:ascii="Times New Roman"/>
          <w:b w:val="false"/>
          <w:i w:val="false"/>
          <w:color w:val="000000"/>
          <w:sz w:val="28"/>
        </w:rPr>
        <w:t xml:space="preserve">
       The coefficients of the fourth group, determined by a decision of a local representative body, are applied to appraised zones located: </w:t>
      </w:r>
    </w:p>
    <w:p>
      <w:pPr>
        <w:spacing w:after="0"/>
        <w:ind w:left="0"/>
        <w:jc w:val="both"/>
      </w:pPr>
      <w:r>
        <w:rPr>
          <w:rFonts w:ascii="Times New Roman"/>
          <w:b w:val="false"/>
          <w:i w:val="false"/>
          <w:color w:val="000000"/>
          <w:sz w:val="28"/>
        </w:rPr>
        <w:t>
       in conservation areas or nature reserves, health-improving and recreational areas;</w:t>
      </w:r>
    </w:p>
    <w:p>
      <w:pPr>
        <w:spacing w:after="0"/>
        <w:ind w:left="0"/>
        <w:jc w:val="both"/>
      </w:pPr>
      <w:r>
        <w:rPr>
          <w:rFonts w:ascii="Times New Roman"/>
          <w:b w:val="false"/>
          <w:i w:val="false"/>
          <w:color w:val="000000"/>
          <w:sz w:val="28"/>
        </w:rPr>
        <w:t>
       within zones with limited development rights and in areas of architectural, historical, aesthetic value;</w:t>
      </w:r>
    </w:p>
    <w:p>
      <w:pPr>
        <w:spacing w:after="0"/>
        <w:ind w:left="0"/>
        <w:jc w:val="both"/>
      </w:pPr>
      <w:r>
        <w:rPr>
          <w:rFonts w:ascii="Times New Roman"/>
          <w:b w:val="false"/>
          <w:i w:val="false"/>
          <w:color w:val="000000"/>
          <w:sz w:val="28"/>
        </w:rPr>
        <w:t>
       near water bodies, forests and in communal landscaped areas of landscape value.</w:t>
      </w:r>
    </w:p>
    <w:p>
      <w:pPr>
        <w:spacing w:after="0"/>
        <w:ind w:left="0"/>
        <w:jc w:val="both"/>
      </w:pPr>
      <w:r>
        <w:rPr>
          <w:rFonts w:ascii="Times New Roman"/>
          <w:b w:val="false"/>
          <w:i w:val="false"/>
          <w:color w:val="000000"/>
          <w:sz w:val="28"/>
        </w:rPr>
        <w:t xml:space="preserve">
       The coefficients are applied to those parts of a populated locality that have such a value. </w:t>
      </w:r>
    </w:p>
    <w:p>
      <w:pPr>
        <w:spacing w:after="0"/>
        <w:ind w:left="0"/>
        <w:jc w:val="both"/>
      </w:pPr>
      <w:r>
        <w:rPr>
          <w:rFonts w:ascii="Times New Roman"/>
          <w:b w:val="false"/>
          <w:i w:val="false"/>
          <w:color w:val="000000"/>
          <w:sz w:val="28"/>
        </w:rPr>
        <w:t>
       The value of the coefficients of factors and sub-factors of the fifth and sixth groups are defined as factors of negative impact of anthropogenic processes, state of the environment, sanitary, microclimatic, engineering and geological conditions, degree of exposure to destructive natural and other impacts if they can be determined by calculation proceeding from the data provided by relevant authorized state bodies.</w:t>
      </w:r>
    </w:p>
    <w:p>
      <w:pPr>
        <w:spacing w:after="0"/>
        <w:ind w:left="0"/>
        <w:jc w:val="left"/>
      </w:pPr>
      <w:r>
        <w:rPr>
          <w:rFonts w:ascii="Times New Roman"/>
          <w:b/>
          <w:i w:val="false"/>
          <w:color w:val="000000"/>
        </w:rPr>
        <w:t xml:space="preserve"> Chapter 3. Calculation of zoning coefficients</w:t>
      </w:r>
    </w:p>
    <w:p>
      <w:pPr>
        <w:spacing w:after="0"/>
        <w:ind w:left="0"/>
        <w:jc w:val="both"/>
      </w:pPr>
      <w:r>
        <w:rPr>
          <w:rFonts w:ascii="Times New Roman"/>
          <w:b w:val="false"/>
          <w:i w:val="false"/>
          <w:color w:val="000000"/>
          <w:sz w:val="28"/>
        </w:rPr>
        <w:t>
       9. Boundaries of appraised plots are amended as a result of application of factors and sub-factors. Based on information received, the description of each above mentioned factor is made to assign to an appraised zone the value of each factor valid for this zone.</w:t>
      </w:r>
    </w:p>
    <w:p>
      <w:pPr>
        <w:spacing w:after="0"/>
        <w:ind w:left="0"/>
        <w:jc w:val="both"/>
      </w:pPr>
      <w:r>
        <w:rPr>
          <w:rFonts w:ascii="Times New Roman"/>
          <w:b w:val="false"/>
          <w:i w:val="false"/>
          <w:color w:val="000000"/>
          <w:sz w:val="28"/>
        </w:rPr>
        <w:t xml:space="preserve">
       For each appraised zone, the zoning coefficient of the relative value of immovable property is calculated and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K1, K2, K3, K4 - the group of values of upward effect; </w:t>
      </w:r>
    </w:p>
    <w:p>
      <w:pPr>
        <w:spacing w:after="0"/>
        <w:ind w:left="0"/>
        <w:jc w:val="both"/>
      </w:pPr>
      <w:r>
        <w:rPr>
          <w:rFonts w:ascii="Times New Roman"/>
          <w:b w:val="false"/>
          <w:i w:val="false"/>
          <w:color w:val="000000"/>
          <w:sz w:val="28"/>
        </w:rPr>
        <w:t xml:space="preserve">
       K5, K6 -  the group of values of downward effect. </w:t>
      </w:r>
    </w:p>
    <w:p>
      <w:pPr>
        <w:spacing w:after="0"/>
        <w:ind w:left="0"/>
        <w:jc w:val="both"/>
      </w:pPr>
      <w:r>
        <w:rPr>
          <w:rFonts w:ascii="Times New Roman"/>
          <w:b w:val="false"/>
          <w:i w:val="false"/>
          <w:color w:val="000000"/>
          <w:sz w:val="28"/>
        </w:rPr>
        <w:t>
      In this case, the maximum value of the zoning coefficient is assumed to be 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w:t>
            </w:r>
            <w:r>
              <w:br/>
            </w:r>
            <w:r>
              <w:rPr>
                <w:rFonts w:ascii="Times New Roman"/>
                <w:b w:val="false"/>
                <w:i w:val="false"/>
                <w:color w:val="000000"/>
                <w:sz w:val="20"/>
              </w:rPr>
              <w:t>Methodology for calculating</w:t>
            </w:r>
            <w:r>
              <w:br/>
            </w:r>
            <w:r>
              <w:rPr>
                <w:rFonts w:ascii="Times New Roman"/>
                <w:b w:val="false"/>
                <w:i w:val="false"/>
                <w:color w:val="000000"/>
                <w:sz w:val="20"/>
              </w:rPr>
              <w:t>the zoning coefficient</w:t>
            </w:r>
          </w:p>
        </w:tc>
      </w:tr>
    </w:tbl>
    <w:p>
      <w:pPr>
        <w:spacing w:after="0"/>
        <w:ind w:left="0"/>
        <w:jc w:val="left"/>
      </w:pPr>
      <w:r>
        <w:rPr>
          <w:rFonts w:ascii="Times New Roman"/>
          <w:b/>
          <w:i w:val="false"/>
          <w:color w:val="000000"/>
        </w:rPr>
        <w:t xml:space="preserve"> Groups, factors and sub-factors of the relative value of immovable property and their values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0379"/>
        <w:gridCol w:w="113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 (К)</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and sub-factors of the relative value of immovable property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Accessibility of the center to the population.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central engineering equipment and landscaping, transport accessibility: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pipes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surface of streets and driveways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Accessibility of stopping places of public urban and suburban passenger transport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facilities of citywide, district significance within the boundaries of an appraised zone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preschool institutions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schools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cultural, arts, sports facilities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Enterprises of trade, catering and household services of local significance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legal status zones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of the environment, sanitary and microclimatic conditions are taken into account with the downward coefficient (minus):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contamination, high gas content in the air, smoke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the area: landfills, debris of industrial waste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pollution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noise regime: rail, tram tracks, passenger stations, ports, markets, heavy transport routes and highways with traffic congestion (distance from an appraised item is not more than 50 meters), airline (distance from an appraised item is not more than 1000 meters)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geological conditions for construction and the degree of exposure to destructive natural and other impacts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effects of electromagnetic fields, radiation (radio stations, radio and TV transmitting and radar stations, high-voltage overhead power lines)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Waterlogging, bogginess, high groundwater level, seismicity, mudflows and other natural factors.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