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aeee" w14:textId="c88a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average ratio of students per teacher to calculate the total number of academic teaching staff of higher and (or) postgraduate education institutions, with the exception of military, special educational institutions, educational organizations in the field of culture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of October 31, 2018 No. 606. Registered with the Ministry of Justice of the Republic of Kazakhstan on November 1, 2018 No. 17670.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 in the wording of the order of the Minister of education and science of the Republic of Kazakhstan dated 02.07.2020 № 284 (effective after ten calendar days from the date of its first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8 of Article 52 of the Law of the Republic of Kazakhstan dated July 27, 2007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average ratio of the number of students to teachers for calculating the total number of teaching staff of organizations of higher and (or) postgraduate education, with the exception of the Academy of Justice, military, special educational institutions, organizations of education in the field of culture in accordance with Annex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education and science of the Republic of Kazakhstan dated 02.07.2020 № 284 (effective after ten calendar days from the date of its first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accordance with the procedure established by the legislation of the Republic of Kazakhstan, the Department of Higher and Postgraduate Education of the Ministry of Education and Science of the Republic of Kazakhstan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from the date of state registration of this order, direct its copy in paper and electronic form in the Kazakh and Russian languages to the Republican State Enterprise with the Right of Economic Management “Republican Center of Legal Information”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3) place this order on the Internet resource of the Ministry of Education and Science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order, submit to the Legal Department of the Ministry of Education and Science of the Republic of Kazakhstan the data on execution of the actions provided for by subparagraphs 1), 2) and 3) of this paragraph.</w:t>
      </w:r>
    </w:p>
    <w:p>
      <w:pPr>
        <w:spacing w:after="0"/>
        <w:ind w:left="0"/>
        <w:jc w:val="both"/>
      </w:pPr>
      <w:r>
        <w:rPr>
          <w:rFonts w:ascii="Times New Roman"/>
          <w:b w:val="false"/>
          <w:i w:val="false"/>
          <w:color w:val="000000"/>
          <w:sz w:val="28"/>
        </w:rPr>
        <w:t>
      3. Control over the execution of this order shall be entrusted to Vice-Minister of Education and Science of the Republic of Kazakhstan A.K. Aimagambetov.</w:t>
      </w:r>
    </w:p>
    <w:p>
      <w:pPr>
        <w:spacing w:after="0"/>
        <w:ind w:left="0"/>
        <w:jc w:val="both"/>
      </w:pPr>
      <w:r>
        <w:rPr>
          <w:rFonts w:ascii="Times New Roman"/>
          <w:b w:val="false"/>
          <w:i w:val="false"/>
          <w:color w:val="000000"/>
          <w:sz w:val="28"/>
        </w:rPr>
        <w:t>
      4. This order shall enter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Sagadiyev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order № 606 of the Minister</w:t>
            </w:r>
            <w:r>
              <w:br/>
            </w:r>
            <w:r>
              <w:rPr>
                <w:rFonts w:ascii="Times New Roman"/>
                <w:b w:val="false"/>
                <w:i w:val="false"/>
                <w:color w:val="000000"/>
                <w:sz w:val="20"/>
              </w:rPr>
              <w:t>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 xml:space="preserve">of October 31, 2018 </w:t>
            </w:r>
          </w:p>
        </w:tc>
      </w:tr>
    </w:tbl>
    <w:p>
      <w:pPr>
        <w:spacing w:after="0"/>
        <w:ind w:left="0"/>
        <w:jc w:val="left"/>
      </w:pPr>
      <w:r>
        <w:rPr>
          <w:rFonts w:ascii="Times New Roman"/>
          <w:b/>
          <w:i w:val="false"/>
          <w:color w:val="000000"/>
        </w:rPr>
        <w:t xml:space="preserve"> The average student to teacher ratio to calculate the total number of teaching faculty of higher </w:t>
      </w:r>
      <w:r>
        <w:br/>
      </w:r>
      <w:r>
        <w:rPr>
          <w:rFonts w:ascii="Times New Roman"/>
          <w:b/>
          <w:i w:val="false"/>
          <w:color w:val="000000"/>
        </w:rPr>
        <w:t xml:space="preserve">and (or) postgraduate education organizations, with the exception of the Academy of Justice, military, </w:t>
      </w:r>
      <w:r>
        <w:br/>
      </w:r>
      <w:r>
        <w:rPr>
          <w:rFonts w:ascii="Times New Roman"/>
          <w:b/>
          <w:i w:val="false"/>
          <w:color w:val="000000"/>
        </w:rPr>
        <w:t>special educational institutions, educational organizations in the field of culture</w:t>
      </w:r>
    </w:p>
    <w:p>
      <w:pPr>
        <w:spacing w:after="0"/>
        <w:ind w:left="0"/>
        <w:jc w:val="both"/>
      </w:pPr>
      <w:r>
        <w:rPr>
          <w:rFonts w:ascii="Times New Roman"/>
          <w:b w:val="false"/>
          <w:i w:val="false"/>
          <w:color w:val="ff0000"/>
          <w:sz w:val="28"/>
        </w:rPr>
        <w:t>
      Footnote. Appendix – as amended by the order of the Minister of Science and Higher Education of the Republic of Kazakhstan dated 24.10.2023 № 543 (shall be enforced ten calendar days after the date of its first official publication).</w:t>
      </w:r>
    </w:p>
    <w:p>
      <w:pPr>
        <w:spacing w:after="0"/>
        <w:ind w:left="0"/>
        <w:jc w:val="both"/>
      </w:pPr>
      <w:r>
        <w:rPr>
          <w:rFonts w:ascii="Times New Roman"/>
          <w:b w:val="false"/>
          <w:i w:val="false"/>
          <w:color w:val="000000"/>
          <w:sz w:val="28"/>
        </w:rPr>
        <w:t>
      Teaching faculty (hereinafter – TF) of higher and (or) postgraduate education organizations, except for military, special educational institutions, education organizations in the field of culture, shall be based on the following ratio of students per 1 TF member: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student to teacher ratio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and postgraduate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Bachelor's degree in areas of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 training with subject specialization in general development***</w:t>
            </w:r>
          </w:p>
          <w:p>
            <w:pPr>
              <w:spacing w:after="20"/>
              <w:ind w:left="20"/>
              <w:jc w:val="both"/>
            </w:pPr>
            <w:r>
              <w:rPr>
                <w:rFonts w:ascii="Times New Roman"/>
                <w:b w:val="false"/>
                <w:i w:val="false"/>
                <w:color w:val="000000"/>
                <w:sz w:val="20"/>
              </w:rPr>
              <w:t>
(in educational programs related to training of teachers in visual arts, music)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 training in languages and literature***</w:t>
            </w:r>
          </w:p>
          <w:p>
            <w:pPr>
              <w:spacing w:after="20"/>
              <w:ind w:left="20"/>
              <w:jc w:val="both"/>
            </w:pPr>
            <w:r>
              <w:rPr>
                <w:rFonts w:ascii="Times New Roman"/>
                <w:b w:val="false"/>
                <w:i w:val="false"/>
                <w:color w:val="000000"/>
                <w:sz w:val="20"/>
              </w:rPr>
              <w:t>
(for educational programs related to the training of teachers of foreign languages)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Languages and literatures***</w:t>
            </w:r>
          </w:p>
          <w:p>
            <w:pPr>
              <w:spacing w:after="20"/>
              <w:ind w:left="20"/>
              <w:jc w:val="both"/>
            </w:pPr>
            <w:r>
              <w:rPr>
                <w:rFonts w:ascii="Times New Roman"/>
                <w:b w:val="false"/>
                <w:i w:val="false"/>
                <w:color w:val="000000"/>
                <w:sz w:val="20"/>
              </w:rPr>
              <w:t>
(training of foreign philology personnel, translators)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Pedagogy***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Arts &amp; Humanities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all other areas of training and educational programs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students of preparatory departments, including foreign nationals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Students at the military department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Master's Degree**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Note: permissible deviations from the average student to teacher ratio to calculate the total number of teaching faculty:</w:t>
      </w:r>
    </w:p>
    <w:p>
      <w:pPr>
        <w:spacing w:after="0"/>
        <w:ind w:left="0"/>
        <w:jc w:val="both"/>
      </w:pPr>
      <w:r>
        <w:rPr>
          <w:rFonts w:ascii="Times New Roman"/>
          <w:b w:val="false"/>
          <w:i w:val="false"/>
          <w:color w:val="000000"/>
          <w:sz w:val="28"/>
        </w:rPr>
        <w:t>
      * – 0,5 (-/+);</w:t>
      </w:r>
    </w:p>
    <w:p>
      <w:pPr>
        <w:spacing w:after="0"/>
        <w:ind w:left="0"/>
        <w:jc w:val="both"/>
      </w:pPr>
      <w:r>
        <w:rPr>
          <w:rFonts w:ascii="Times New Roman"/>
          <w:b w:val="false"/>
          <w:i w:val="false"/>
          <w:color w:val="000000"/>
          <w:sz w:val="28"/>
        </w:rPr>
        <w:t>
      ** – 1 (-/+);</w:t>
      </w:r>
    </w:p>
    <w:p>
      <w:pPr>
        <w:spacing w:after="0"/>
        <w:ind w:left="0"/>
        <w:jc w:val="both"/>
      </w:pPr>
      <w:r>
        <w:rPr>
          <w:rFonts w:ascii="Times New Roman"/>
          <w:b w:val="false"/>
          <w:i w:val="false"/>
          <w:color w:val="000000"/>
          <w:sz w:val="28"/>
        </w:rPr>
        <w:t>
      *** – 2 (-/+);</w:t>
      </w:r>
    </w:p>
    <w:p>
      <w:pPr>
        <w:spacing w:after="0"/>
        <w:ind w:left="0"/>
        <w:jc w:val="both"/>
      </w:pPr>
      <w:r>
        <w:rPr>
          <w:rFonts w:ascii="Times New Roman"/>
          <w:b w:val="false"/>
          <w:i w:val="false"/>
          <w:color w:val="000000"/>
          <w:sz w:val="28"/>
        </w:rPr>
        <w:t>
      **** – 4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