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a570" w14:textId="2cca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approval of risk assessment criteria and checklist in the field of architecture, town planning and construction behind the activity of local executive bodies for architecture, town planning, construction, and state architectural and constructional control and supervision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Minister of National Economy of the Republic of Kazakhstan № 757 dated October 31, 2018 and the Minister of National Economy of the Republic of Kazakhstan № 52 dated October 31, 2018. Registered with the Ministry of Justice of the Republic of Kazakhstan dated November 1, 2018 № 17665. Abolished by the joint order of the Minister of Industry and Infrastructure Development of the Republic of Kazakhstan dated December 30, 2022 No. 763 and the Minister of National Economy of the Republic of Kazakhstan dated December 19, 2022 No. 130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joint order of the Minister of Industry and Infrastructure Development of the Republic of Kazakhstan dated December 30, 2022 No. 763 and the Minister of National Economy of the Republic of Kazakhstan dated December 19, 2022 No. 130 (effective from 01.01.2023).</w:t>
      </w:r>
      <w:r>
        <w:br/>
      </w:r>
      <w:r>
        <w:rPr>
          <w:rFonts w:ascii="Times New Roman"/>
          <w:b w:val="false"/>
          <w:i w:val="false"/>
          <w:color w:val="000000"/>
          <w:sz w:val="28"/>
        </w:rPr>
        <w:t>
</w:t>
      </w:r>
      <w:r>
        <w:rPr>
          <w:rFonts w:ascii="Times New Roman"/>
          <w:b w:val="false"/>
          <w:i w:val="false"/>
          <w:color w:val="ff0000"/>
          <w:sz w:val="28"/>
        </w:rPr>
        <w:t>      Footnote. Title - in the wording of the joint order of the Minister of industry and infrastructure development of the Republic of Kazakhstan dated 28.04.2020 No. 240 and the Minister of national economy of the Republic of Kazakhstan dated 30.04.2020 No. 34 (effective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paragraph 3 of Article 141 and paragraph 1 of Article 143 of the Entrepreneurial Code of the Republic of Kazakhstan of October 29, 2015, we hereby </w:t>
      </w:r>
      <w:r>
        <w:rPr>
          <w:rFonts w:ascii="Times New Roman"/>
          <w:b/>
          <w:i w:val="false"/>
          <w:color w:val="000000"/>
          <w:sz w:val="28"/>
        </w:rPr>
        <w:t>ORDER</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To approve:</w:t>
      </w:r>
    </w:p>
    <w:bookmarkEnd w:id="1"/>
    <w:bookmarkStart w:name="z8" w:id="2"/>
    <w:p>
      <w:pPr>
        <w:spacing w:after="0"/>
        <w:ind w:left="0"/>
        <w:jc w:val="both"/>
      </w:pPr>
      <w:r>
        <w:rPr>
          <w:rFonts w:ascii="Times New Roman"/>
          <w:b w:val="false"/>
          <w:i w:val="false"/>
          <w:color w:val="000000"/>
          <w:sz w:val="28"/>
        </w:rPr>
        <w:t>
      1) criteria for assessing the degree of risk in the field of architecture, town planning and construction of the activities of local executive bodies for architecture, town planning , construction and state architectural and construction control and supervision, in accordance with Appendix 1 to this joint order;</w:t>
      </w:r>
    </w:p>
    <w:bookmarkEnd w:id="2"/>
    <w:bookmarkStart w:name="z9" w:id="3"/>
    <w:p>
      <w:pPr>
        <w:spacing w:after="0"/>
        <w:ind w:left="0"/>
        <w:jc w:val="both"/>
      </w:pPr>
      <w:r>
        <w:rPr>
          <w:rFonts w:ascii="Times New Roman"/>
          <w:b w:val="false"/>
          <w:i w:val="false"/>
          <w:color w:val="000000"/>
          <w:sz w:val="28"/>
        </w:rPr>
        <w:t>
      2) checklist in the field of architecture, town planning and construction in relation to the architecture and town planning bodies, in accordance with Appendix 2 to this joint order;</w:t>
      </w:r>
    </w:p>
    <w:bookmarkEnd w:id="3"/>
    <w:bookmarkStart w:name="z10" w:id="4"/>
    <w:p>
      <w:pPr>
        <w:spacing w:after="0"/>
        <w:ind w:left="0"/>
        <w:jc w:val="both"/>
      </w:pPr>
      <w:r>
        <w:rPr>
          <w:rFonts w:ascii="Times New Roman"/>
          <w:b w:val="false"/>
          <w:i w:val="false"/>
          <w:color w:val="000000"/>
          <w:sz w:val="28"/>
        </w:rPr>
        <w:t>
      3) checklist in the field of architecture, town planning and construction in relation to the bodies of state architectural and construction control and supervision, in accordance with Appendix 3 to this joint order;</w:t>
      </w:r>
    </w:p>
    <w:bookmarkEnd w:id="4"/>
    <w:bookmarkStart w:name="z11" w:id="5"/>
    <w:p>
      <w:pPr>
        <w:spacing w:after="0"/>
        <w:ind w:left="0"/>
        <w:jc w:val="both"/>
      </w:pPr>
      <w:r>
        <w:rPr>
          <w:rFonts w:ascii="Times New Roman"/>
          <w:b w:val="false"/>
          <w:i w:val="false"/>
          <w:color w:val="000000"/>
          <w:sz w:val="28"/>
        </w:rPr>
        <w:t>
      4) checklist in the field of architecture, town planning and construction in relation to the construction bodies, in accordance with Appendix 4 to this joint order.</w:t>
      </w:r>
    </w:p>
    <w:bookmarkEnd w:id="5"/>
    <w:bookmarkStart w:name="z12" w:id="6"/>
    <w:p>
      <w:pPr>
        <w:spacing w:after="0"/>
        <w:ind w:left="0"/>
        <w:jc w:val="both"/>
      </w:pPr>
      <w:r>
        <w:rPr>
          <w:rFonts w:ascii="Times New Roman"/>
          <w:b w:val="false"/>
          <w:i w:val="false"/>
          <w:color w:val="000000"/>
          <w:sz w:val="28"/>
        </w:rPr>
        <w:t>
      2. Order № 235 of the Acting Minister of National Economy of the Republic of Kazakhstan of June 3, 2016 "On approval of risk assessment criteria and checklist in the field of architecture, town planning and construction behind the activity of local executive bodies for architecture, town planning , construction and state architectural and construction control and supervision "(registered in the Register of state registration of regulatory legal acts under № 14139, published September 1, 2016 in the legal information system "Adilet").</w:t>
      </w:r>
    </w:p>
    <w:bookmarkEnd w:id="6"/>
    <w:bookmarkStart w:name="z13" w:id="7"/>
    <w:p>
      <w:pPr>
        <w:spacing w:after="0"/>
        <w:ind w:left="0"/>
        <w:jc w:val="both"/>
      </w:pPr>
      <w:r>
        <w:rPr>
          <w:rFonts w:ascii="Times New Roman"/>
          <w:b w:val="false"/>
          <w:i w:val="false"/>
          <w:color w:val="000000"/>
          <w:sz w:val="28"/>
        </w:rPr>
        <w:t>
      3. The Committee for Construction and Housing and Communal Services of the Ministry for Investment and Development of the Republic of Kazakhstan, in accordance with the procedure established by legislation, shall:</w:t>
      </w:r>
    </w:p>
    <w:bookmarkEnd w:id="7"/>
    <w:bookmarkStart w:name="z14" w:id="8"/>
    <w:p>
      <w:pPr>
        <w:spacing w:after="0"/>
        <w:ind w:left="0"/>
        <w:jc w:val="both"/>
      </w:pPr>
      <w:r>
        <w:rPr>
          <w:rFonts w:ascii="Times New Roman"/>
          <w:b w:val="false"/>
          <w:i w:val="false"/>
          <w:color w:val="000000"/>
          <w:sz w:val="28"/>
        </w:rPr>
        <w:t>
      1) provide the state registration of this joint order with the Ministry of Justice of the Republic of Kazakhstan;</w:t>
      </w:r>
    </w:p>
    <w:bookmarkEnd w:id="8"/>
    <w:bookmarkStart w:name="z15" w:id="9"/>
    <w:p>
      <w:pPr>
        <w:spacing w:after="0"/>
        <w:ind w:left="0"/>
        <w:jc w:val="both"/>
      </w:pPr>
      <w:r>
        <w:rPr>
          <w:rFonts w:ascii="Times New Roman"/>
          <w:b w:val="false"/>
          <w:i w:val="false"/>
          <w:color w:val="000000"/>
          <w:sz w:val="28"/>
        </w:rPr>
        <w:t xml:space="preserve">
      2) within ten calendar days from the date of state registration of this joint order,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 </w:t>
      </w:r>
    </w:p>
    <w:bookmarkEnd w:id="9"/>
    <w:bookmarkStart w:name="z16" w:id="10"/>
    <w:p>
      <w:pPr>
        <w:spacing w:after="0"/>
        <w:ind w:left="0"/>
        <w:jc w:val="both"/>
      </w:pPr>
      <w:r>
        <w:rPr>
          <w:rFonts w:ascii="Times New Roman"/>
          <w:b w:val="false"/>
          <w:i w:val="false"/>
          <w:color w:val="000000"/>
          <w:sz w:val="28"/>
        </w:rPr>
        <w:t>
      3) place this joint order on the Internet resource of the Ministry for Investment and Development of the Republic of Kazakhstan;</w:t>
      </w:r>
    </w:p>
    <w:bookmarkEnd w:id="10"/>
    <w:bookmarkStart w:name="z17" w:id="11"/>
    <w:p>
      <w:pPr>
        <w:spacing w:after="0"/>
        <w:ind w:left="0"/>
        <w:jc w:val="both"/>
      </w:pPr>
      <w:r>
        <w:rPr>
          <w:rFonts w:ascii="Times New Roman"/>
          <w:b w:val="false"/>
          <w:i w:val="false"/>
          <w:color w:val="000000"/>
          <w:sz w:val="28"/>
        </w:rPr>
        <w:t>
      4) within ten working days after the state registration of this joint order with the Ministry of Justice of the Republic of Kazakhstan, submit to the Legal Department of the Ministry of Investment and Development of the Republic of Kazakhstan the data on execution of the actions provided for in subparagraphs 1), 2) and 3) of this paragraph.</w:t>
      </w:r>
    </w:p>
    <w:bookmarkEnd w:id="11"/>
    <w:bookmarkStart w:name="z18" w:id="12"/>
    <w:p>
      <w:pPr>
        <w:spacing w:after="0"/>
        <w:ind w:left="0"/>
        <w:jc w:val="both"/>
      </w:pPr>
      <w:r>
        <w:rPr>
          <w:rFonts w:ascii="Times New Roman"/>
          <w:b w:val="false"/>
          <w:i w:val="false"/>
          <w:color w:val="000000"/>
          <w:sz w:val="28"/>
        </w:rPr>
        <w:t>
      4. Control over the execution of this joint order shall be entrusted to the Supervising Vice Minister for Investment and Development of the Republic of Kazakhstan.</w:t>
      </w:r>
    </w:p>
    <w:bookmarkEnd w:id="12"/>
    <w:bookmarkStart w:name="z19" w:id="13"/>
    <w:p>
      <w:pPr>
        <w:spacing w:after="0"/>
        <w:ind w:left="0"/>
        <w:jc w:val="both"/>
      </w:pPr>
      <w:r>
        <w:rPr>
          <w:rFonts w:ascii="Times New Roman"/>
          <w:b w:val="false"/>
          <w:i w:val="false"/>
          <w:color w:val="000000"/>
          <w:sz w:val="28"/>
        </w:rPr>
        <w:t>
      5. This joint order shall enter into force upon expiry of ten calendar days after the date of its first official publication.</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Investment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 Zh. Kasymbek</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T. Suleimenov</w:t>
            </w:r>
            <w:r>
              <w:rPr>
                <w:rFonts w:ascii="Times New Roman"/>
                <w:b w:val="false"/>
                <w:i w:val="false"/>
                <w:color w:val="000000"/>
                <w:sz w:val="20"/>
              </w:rPr>
              <w:t>
</w:t>
            </w:r>
          </w:p>
        </w:tc>
      </w:tr>
    </w:tbl>
    <w:bookmarkStart w:name="z24" w:id="14"/>
    <w:p>
      <w:pPr>
        <w:spacing w:after="0"/>
        <w:ind w:left="0"/>
        <w:jc w:val="both"/>
      </w:pPr>
      <w:r>
        <w:rPr>
          <w:rFonts w:ascii="Times New Roman"/>
          <w:b w:val="false"/>
          <w:i w:val="false"/>
          <w:color w:val="000000"/>
          <w:sz w:val="28"/>
        </w:rPr>
        <w:t>
      "AGREED"</w:t>
      </w:r>
    </w:p>
    <w:bookmarkEnd w:id="14"/>
    <w:bookmarkStart w:name="z25" w:id="15"/>
    <w:p>
      <w:pPr>
        <w:spacing w:after="0"/>
        <w:ind w:left="0"/>
        <w:jc w:val="both"/>
      </w:pPr>
      <w:r>
        <w:rPr>
          <w:rFonts w:ascii="Times New Roman"/>
          <w:b w:val="false"/>
          <w:i w:val="false"/>
          <w:color w:val="000000"/>
          <w:sz w:val="28"/>
        </w:rPr>
        <w:t xml:space="preserve">
      Committee on Legal Statistics </w:t>
      </w:r>
    </w:p>
    <w:bookmarkEnd w:id="15"/>
    <w:bookmarkStart w:name="z26" w:id="16"/>
    <w:p>
      <w:pPr>
        <w:spacing w:after="0"/>
        <w:ind w:left="0"/>
        <w:jc w:val="both"/>
      </w:pPr>
      <w:r>
        <w:rPr>
          <w:rFonts w:ascii="Times New Roman"/>
          <w:b w:val="false"/>
          <w:i w:val="false"/>
          <w:color w:val="000000"/>
          <w:sz w:val="28"/>
        </w:rPr>
        <w:t>
      and Special Accounts</w:t>
      </w:r>
    </w:p>
    <w:bookmarkEnd w:id="16"/>
    <w:bookmarkStart w:name="z27" w:id="17"/>
    <w:p>
      <w:pPr>
        <w:spacing w:after="0"/>
        <w:ind w:left="0"/>
        <w:jc w:val="both"/>
      </w:pPr>
      <w:r>
        <w:rPr>
          <w:rFonts w:ascii="Times New Roman"/>
          <w:b w:val="false"/>
          <w:i w:val="false"/>
          <w:color w:val="000000"/>
          <w:sz w:val="28"/>
        </w:rPr>
        <w:t>
      of the General Prosecutor's Office</w:t>
      </w:r>
    </w:p>
    <w:bookmarkEnd w:id="17"/>
    <w:bookmarkStart w:name="z28" w:id="18"/>
    <w:p>
      <w:pPr>
        <w:spacing w:after="0"/>
        <w:ind w:left="0"/>
        <w:jc w:val="both"/>
      </w:pPr>
      <w:r>
        <w:rPr>
          <w:rFonts w:ascii="Times New Roman"/>
          <w:b w:val="false"/>
          <w:i w:val="false"/>
          <w:color w:val="000000"/>
          <w:sz w:val="28"/>
        </w:rPr>
        <w:t>
      of the Republic of Kazakhstan</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Joint</w:t>
            </w:r>
            <w:r>
              <w:br/>
            </w:r>
            <w:r>
              <w:rPr>
                <w:rFonts w:ascii="Times New Roman"/>
                <w:b w:val="false"/>
                <w:i w:val="false"/>
                <w:color w:val="000000"/>
                <w:sz w:val="20"/>
              </w:rPr>
              <w:t xml:space="preserve">Order № 757 of the Minister of </w:t>
            </w:r>
            <w:r>
              <w:br/>
            </w:r>
            <w:r>
              <w:rPr>
                <w:rFonts w:ascii="Times New Roman"/>
                <w:b w:val="false"/>
                <w:i w:val="false"/>
                <w:color w:val="000000"/>
                <w:sz w:val="20"/>
              </w:rPr>
              <w:t xml:space="preserve">Investment and Development of </w:t>
            </w:r>
            <w:r>
              <w:br/>
            </w:r>
            <w:r>
              <w:rPr>
                <w:rFonts w:ascii="Times New Roman"/>
                <w:b w:val="false"/>
                <w:i w:val="false"/>
                <w:color w:val="000000"/>
                <w:sz w:val="20"/>
              </w:rPr>
              <w:t xml:space="preserve">the Republic of Kazakhstan of </w:t>
            </w:r>
            <w:r>
              <w:br/>
            </w:r>
            <w:r>
              <w:rPr>
                <w:rFonts w:ascii="Times New Roman"/>
                <w:b w:val="false"/>
                <w:i w:val="false"/>
                <w:color w:val="000000"/>
                <w:sz w:val="20"/>
              </w:rPr>
              <w:t xml:space="preserve">October 31, 2018 and № 52 of the </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of October 31, 2018</w:t>
            </w:r>
          </w:p>
        </w:tc>
      </w:tr>
    </w:tbl>
    <w:bookmarkStart w:name="z30" w:id="19"/>
    <w:p>
      <w:pPr>
        <w:spacing w:after="0"/>
        <w:ind w:left="0"/>
        <w:jc w:val="left"/>
      </w:pPr>
      <w:r>
        <w:rPr>
          <w:rFonts w:ascii="Times New Roman"/>
          <w:b/>
          <w:i w:val="false"/>
          <w:color w:val="000000"/>
        </w:rPr>
        <w:t xml:space="preserve"> Criteria for assessing the degree of risk in the field of architecture, town planning and construction behind the activity of local </w:t>
      </w:r>
    </w:p>
    <w:bookmarkEnd w:id="19"/>
    <w:bookmarkStart w:name="z31" w:id="20"/>
    <w:p>
      <w:pPr>
        <w:spacing w:after="0"/>
        <w:ind w:left="0"/>
        <w:jc w:val="left"/>
      </w:pPr>
      <w:r>
        <w:rPr>
          <w:rFonts w:ascii="Times New Roman"/>
          <w:b/>
          <w:i w:val="false"/>
          <w:color w:val="000000"/>
        </w:rPr>
        <w:t xml:space="preserve"> executive bodies for architecture, town planning , construction and state architectural and constructional control and supervision</w:t>
      </w:r>
    </w:p>
    <w:bookmarkEnd w:id="20"/>
    <w:bookmarkStart w:name="z32" w:id="21"/>
    <w:p>
      <w:pPr>
        <w:spacing w:after="0"/>
        <w:ind w:left="0"/>
        <w:jc w:val="left"/>
      </w:pPr>
      <w:r>
        <w:rPr>
          <w:rFonts w:ascii="Times New Roman"/>
          <w:b/>
          <w:i w:val="false"/>
          <w:color w:val="000000"/>
        </w:rPr>
        <w:t xml:space="preserve"> Chapter 1. General Provisions</w:t>
      </w:r>
    </w:p>
    <w:bookmarkEnd w:id="21"/>
    <w:bookmarkStart w:name="z33" w:id="22"/>
    <w:p>
      <w:pPr>
        <w:spacing w:after="0"/>
        <w:ind w:left="0"/>
        <w:jc w:val="both"/>
      </w:pPr>
      <w:r>
        <w:rPr>
          <w:rFonts w:ascii="Times New Roman"/>
          <w:b w:val="false"/>
          <w:i w:val="false"/>
          <w:color w:val="000000"/>
          <w:sz w:val="28"/>
        </w:rPr>
        <w:t>
      1. These criteria for assessing the degree of risk in the field of architecture, town planning and construction behind the activities of local executive bodies for architecture, town planning , construction, and state architectural and constructional control and supervision (hereinafter referred to as Criteria) are developed in accordance with paragraph 3 of Article 141, paragraph 1 of Article 143 of the Entrepreneurial Code of the Republic of Kazakhstan (hereinafter referred to as the Code) and the Rules for Forming by the State Bodies of the Risk Assessment System and the Forms of Checklists, approved by order No3 of the Acting Minister of National Economy of the Republic of Kazakhstan, dated July 31, 2018 (registered in the Register of State Registration of Regulatory Legal Acts under № 17371) for assigning subjects of control and supervision to risk degrees.</w:t>
      </w:r>
    </w:p>
    <w:bookmarkEnd w:id="22"/>
    <w:bookmarkStart w:name="z34" w:id="23"/>
    <w:p>
      <w:pPr>
        <w:spacing w:after="0"/>
        <w:ind w:left="0"/>
        <w:jc w:val="both"/>
      </w:pPr>
      <w:r>
        <w:rPr>
          <w:rFonts w:ascii="Times New Roman"/>
          <w:b w:val="false"/>
          <w:i w:val="false"/>
          <w:color w:val="000000"/>
          <w:sz w:val="28"/>
        </w:rPr>
        <w:t>
      2. The following concepts shall be used in these Criteria:</w:t>
      </w:r>
    </w:p>
    <w:bookmarkEnd w:id="23"/>
    <w:bookmarkStart w:name="z35" w:id="24"/>
    <w:p>
      <w:pPr>
        <w:spacing w:after="0"/>
        <w:ind w:left="0"/>
        <w:jc w:val="both"/>
      </w:pPr>
      <w:r>
        <w:rPr>
          <w:rFonts w:ascii="Times New Roman"/>
          <w:b w:val="false"/>
          <w:i w:val="false"/>
          <w:color w:val="000000"/>
          <w:sz w:val="28"/>
        </w:rPr>
        <w:t>
      1) subjects of control and supervision - local executive bodies for:</w:t>
      </w:r>
    </w:p>
    <w:bookmarkEnd w:id="24"/>
    <w:bookmarkStart w:name="z36" w:id="25"/>
    <w:p>
      <w:pPr>
        <w:spacing w:after="0"/>
        <w:ind w:left="0"/>
        <w:jc w:val="both"/>
      </w:pPr>
      <w:r>
        <w:rPr>
          <w:rFonts w:ascii="Times New Roman"/>
          <w:b w:val="false"/>
          <w:i w:val="false"/>
          <w:color w:val="000000"/>
          <w:sz w:val="28"/>
        </w:rPr>
        <w:t>
      architecture and town planning ;</w:t>
      </w:r>
    </w:p>
    <w:bookmarkEnd w:id="25"/>
    <w:bookmarkStart w:name="z37" w:id="26"/>
    <w:p>
      <w:pPr>
        <w:spacing w:after="0"/>
        <w:ind w:left="0"/>
        <w:jc w:val="both"/>
      </w:pPr>
      <w:r>
        <w:rPr>
          <w:rFonts w:ascii="Times New Roman"/>
          <w:b w:val="false"/>
          <w:i w:val="false"/>
          <w:color w:val="000000"/>
          <w:sz w:val="28"/>
        </w:rPr>
        <w:t>
      construction;</w:t>
      </w:r>
    </w:p>
    <w:bookmarkEnd w:id="26"/>
    <w:bookmarkStart w:name="z38" w:id="27"/>
    <w:p>
      <w:pPr>
        <w:spacing w:after="0"/>
        <w:ind w:left="0"/>
        <w:jc w:val="both"/>
      </w:pPr>
      <w:r>
        <w:rPr>
          <w:rFonts w:ascii="Times New Roman"/>
          <w:b w:val="false"/>
          <w:i w:val="false"/>
          <w:color w:val="000000"/>
          <w:sz w:val="28"/>
        </w:rPr>
        <w:t>
      state architectural and construction control and supervision;</w:t>
      </w:r>
    </w:p>
    <w:bookmarkEnd w:id="27"/>
    <w:bookmarkStart w:name="z39" w:id="28"/>
    <w:p>
      <w:pPr>
        <w:spacing w:after="0"/>
        <w:ind w:left="0"/>
        <w:jc w:val="both"/>
      </w:pPr>
      <w:r>
        <w:rPr>
          <w:rFonts w:ascii="Times New Roman"/>
          <w:b w:val="false"/>
          <w:i w:val="false"/>
          <w:color w:val="000000"/>
          <w:sz w:val="28"/>
        </w:rPr>
        <w:t>
      2) significant violations - violations established by normative legal acts in the field of architecture, town planning , entailing administrative and criminal liability provided for by the laws of the Republic of Kazakhstan and related to the submission of inaccurate reporting and monitoring, non-compliance with state standards, deadlines, procedure for accepting notifications, procedure of conducting preventive control and supervision with a visit to the subject of control and supervision and elimination of identified violations, as well as infringement of the rights and legitimate interests of citizens, presence of complaints and appeals;</w:t>
      </w:r>
    </w:p>
    <w:bookmarkEnd w:id="28"/>
    <w:bookmarkStart w:name="z40" w:id="29"/>
    <w:p>
      <w:pPr>
        <w:spacing w:after="0"/>
        <w:ind w:left="0"/>
        <w:jc w:val="both"/>
      </w:pPr>
      <w:r>
        <w:rPr>
          <w:rFonts w:ascii="Times New Roman"/>
          <w:b w:val="false"/>
          <w:i w:val="false"/>
          <w:color w:val="000000"/>
          <w:sz w:val="28"/>
        </w:rPr>
        <w:t>
      3) insignificant violations - untimely and incorrect execution of records;</w:t>
      </w:r>
    </w:p>
    <w:bookmarkEnd w:id="29"/>
    <w:bookmarkStart w:name="z41" w:id="30"/>
    <w:p>
      <w:pPr>
        <w:spacing w:after="0"/>
        <w:ind w:left="0"/>
        <w:jc w:val="both"/>
      </w:pPr>
      <w:r>
        <w:rPr>
          <w:rFonts w:ascii="Times New Roman"/>
          <w:b w:val="false"/>
          <w:i w:val="false"/>
          <w:color w:val="000000"/>
          <w:sz w:val="28"/>
        </w:rPr>
        <w:t>
      4) gross violations - violations established by regulatory legal acts in the field of architecture, town planning and construction, which result in deterioration of the condition of a favorable habitat and human activity, including persons with disabilities, associated with the presence of man-made disasters (collapse of bearing and enclosing structures and buildings ), with damage to state interests, which entail administrative and criminal liability, as provided for by the laws of the Republic of Kazakhstan, also the lack of staff with appropriate education and certain work experience, absence of completed construction projects, lack of and inconsistency with the levels of expert responsibility, lack of license and accredited experts;</w:t>
      </w:r>
    </w:p>
    <w:bookmarkEnd w:id="30"/>
    <w:bookmarkStart w:name="z42" w:id="31"/>
    <w:p>
      <w:pPr>
        <w:spacing w:after="0"/>
        <w:ind w:left="0"/>
        <w:jc w:val="both"/>
      </w:pPr>
      <w:r>
        <w:rPr>
          <w:rFonts w:ascii="Times New Roman"/>
          <w:b w:val="false"/>
          <w:i w:val="false"/>
          <w:color w:val="000000"/>
          <w:sz w:val="28"/>
        </w:rPr>
        <w:t>
      5) risk in the field of architecture, town planning and construction - the probability of causing harm as a result of the activities of subjects of control and supervision to human life or health, the environment, legitimate interests of individuals and legal entities, property interests of the state, taking into account the severity of its consequences;</w:t>
      </w:r>
    </w:p>
    <w:bookmarkEnd w:id="31"/>
    <w:bookmarkStart w:name="z43" w:id="32"/>
    <w:p>
      <w:pPr>
        <w:spacing w:after="0"/>
        <w:ind w:left="0"/>
        <w:jc w:val="both"/>
      </w:pPr>
      <w:r>
        <w:rPr>
          <w:rFonts w:ascii="Times New Roman"/>
          <w:b w:val="false"/>
          <w:i w:val="false"/>
          <w:color w:val="000000"/>
          <w:sz w:val="28"/>
        </w:rPr>
        <w:t>
      6) objective criteria for assessing the degree of risk (hereinafter referred to as objective criteria) are criteria for assessing the degree of risk used to select subjects of control and supervision, depending on the degree of risk in a particular field of activity and not directly dependent on the individual subject of control and supervision;</w:t>
      </w:r>
    </w:p>
    <w:bookmarkEnd w:id="32"/>
    <w:bookmarkStart w:name="z44" w:id="33"/>
    <w:p>
      <w:pPr>
        <w:spacing w:after="0"/>
        <w:ind w:left="0"/>
        <w:jc w:val="both"/>
      </w:pPr>
      <w:r>
        <w:rPr>
          <w:rFonts w:ascii="Times New Roman"/>
          <w:b w:val="false"/>
          <w:i w:val="false"/>
          <w:color w:val="000000"/>
          <w:sz w:val="28"/>
        </w:rPr>
        <w:t>
      7) subjective criteria for assessing the degree of risk (hereinafter referred to as subjective criteria) risk assessment criteria used to select local executive bodies for architecture, town planning, construction, and state architectural construction control and supervision, depending on the performance of a particular subject of control and supervision;</w:t>
      </w:r>
    </w:p>
    <w:bookmarkEnd w:id="33"/>
    <w:bookmarkStart w:name="z45" w:id="34"/>
    <w:p>
      <w:pPr>
        <w:spacing w:after="0"/>
        <w:ind w:left="0"/>
        <w:jc w:val="both"/>
      </w:pPr>
      <w:r>
        <w:rPr>
          <w:rFonts w:ascii="Times New Roman"/>
          <w:b w:val="false"/>
          <w:i w:val="false"/>
          <w:color w:val="000000"/>
          <w:sz w:val="28"/>
        </w:rPr>
        <w:t>
      8) checklist - a list of requirements that includes only those requirements for the activities of subjects of control and supervision, the non-observance of which entails a threat to human life and health, the environment, legitimate interests of individuals and legal entities, the state.</w:t>
      </w:r>
    </w:p>
    <w:bookmarkEnd w:id="34"/>
    <w:bookmarkStart w:name="z46" w:id="35"/>
    <w:p>
      <w:pPr>
        <w:spacing w:after="0"/>
        <w:ind w:left="0"/>
        <w:jc w:val="both"/>
      </w:pPr>
      <w:r>
        <w:rPr>
          <w:rFonts w:ascii="Times New Roman"/>
          <w:b w:val="false"/>
          <w:i w:val="false"/>
          <w:color w:val="000000"/>
          <w:sz w:val="28"/>
        </w:rPr>
        <w:t>
      3. Criteria for assessing the degree of risk in the field of architecture, town planning and construction activity of local executive bodies for architecture, town planning , construction and state architectural and construction control and supervision shall be formed by means of objective and subjective criteria.</w:t>
      </w:r>
    </w:p>
    <w:bookmarkEnd w:id="35"/>
    <w:bookmarkStart w:name="z47" w:id="36"/>
    <w:p>
      <w:pPr>
        <w:spacing w:after="0"/>
        <w:ind w:left="0"/>
        <w:jc w:val="left"/>
      </w:pPr>
      <w:r>
        <w:rPr>
          <w:rFonts w:ascii="Times New Roman"/>
          <w:b/>
          <w:i w:val="false"/>
          <w:color w:val="000000"/>
        </w:rPr>
        <w:t xml:space="preserve"> Chapter 2. Objective criteria</w:t>
      </w:r>
    </w:p>
    <w:bookmarkEnd w:id="36"/>
    <w:bookmarkStart w:name="z48" w:id="37"/>
    <w:p>
      <w:pPr>
        <w:spacing w:after="0"/>
        <w:ind w:left="0"/>
        <w:jc w:val="both"/>
      </w:pPr>
      <w:r>
        <w:rPr>
          <w:rFonts w:ascii="Times New Roman"/>
          <w:b w:val="false"/>
          <w:i w:val="false"/>
          <w:color w:val="000000"/>
          <w:sz w:val="28"/>
        </w:rPr>
        <w:t>
      4. In the field of architecture, town planning and construction, all the subjects of control and supervision shall be assigned to a high degree of risk according to objective criteria - local executive bodies for:</w:t>
      </w:r>
    </w:p>
    <w:bookmarkEnd w:id="37"/>
    <w:bookmarkStart w:name="z49" w:id="38"/>
    <w:p>
      <w:pPr>
        <w:spacing w:after="0"/>
        <w:ind w:left="0"/>
        <w:jc w:val="both"/>
      </w:pPr>
      <w:r>
        <w:rPr>
          <w:rFonts w:ascii="Times New Roman"/>
          <w:b w:val="false"/>
          <w:i w:val="false"/>
          <w:color w:val="000000"/>
          <w:sz w:val="28"/>
        </w:rPr>
        <w:t>
      architecture and town planning ;</w:t>
      </w:r>
    </w:p>
    <w:bookmarkEnd w:id="38"/>
    <w:bookmarkStart w:name="z50" w:id="39"/>
    <w:p>
      <w:pPr>
        <w:spacing w:after="0"/>
        <w:ind w:left="0"/>
        <w:jc w:val="both"/>
      </w:pPr>
      <w:r>
        <w:rPr>
          <w:rFonts w:ascii="Times New Roman"/>
          <w:b w:val="false"/>
          <w:i w:val="false"/>
          <w:color w:val="000000"/>
          <w:sz w:val="28"/>
        </w:rPr>
        <w:t>
      construction;</w:t>
      </w:r>
    </w:p>
    <w:bookmarkEnd w:id="39"/>
    <w:bookmarkStart w:name="z51" w:id="40"/>
    <w:p>
      <w:pPr>
        <w:spacing w:after="0"/>
        <w:ind w:left="0"/>
        <w:jc w:val="both"/>
      </w:pPr>
      <w:r>
        <w:rPr>
          <w:rFonts w:ascii="Times New Roman"/>
          <w:b w:val="false"/>
          <w:i w:val="false"/>
          <w:color w:val="000000"/>
          <w:sz w:val="28"/>
        </w:rPr>
        <w:t>
      state architectural and constructional control and supervision, since their activities are directly related to causing the greatest harm to human life or health, the environment, legitimate interests of individuals and legal entities, the state’s property interests, taking into account the severity of its consequences, that is, their activities have to ensure safety, comfortable and favorable living environment (habitat).</w:t>
      </w:r>
    </w:p>
    <w:bookmarkEnd w:id="40"/>
    <w:bookmarkStart w:name="z52" w:id="41"/>
    <w:p>
      <w:pPr>
        <w:spacing w:after="0"/>
        <w:ind w:left="0"/>
        <w:jc w:val="left"/>
      </w:pPr>
      <w:r>
        <w:rPr>
          <w:rFonts w:ascii="Times New Roman"/>
          <w:b/>
          <w:i w:val="false"/>
          <w:color w:val="000000"/>
        </w:rPr>
        <w:t xml:space="preserve"> Chapter 3. Subjective criteria</w:t>
      </w:r>
    </w:p>
    <w:bookmarkEnd w:id="41"/>
    <w:bookmarkStart w:name="z53" w:id="42"/>
    <w:p>
      <w:pPr>
        <w:spacing w:after="0"/>
        <w:ind w:left="0"/>
        <w:jc w:val="both"/>
      </w:pPr>
      <w:r>
        <w:rPr>
          <w:rFonts w:ascii="Times New Roman"/>
          <w:b w:val="false"/>
          <w:i w:val="false"/>
          <w:color w:val="000000"/>
          <w:sz w:val="28"/>
        </w:rPr>
        <w:t>
      5. To determine the subjective criteria for assessing the degree of risk, the following information sources of shall be used:</w:t>
      </w:r>
    </w:p>
    <w:bookmarkEnd w:id="42"/>
    <w:bookmarkStart w:name="z54" w:id="43"/>
    <w:p>
      <w:pPr>
        <w:spacing w:after="0"/>
        <w:ind w:left="0"/>
        <w:jc w:val="both"/>
      </w:pPr>
      <w:r>
        <w:rPr>
          <w:rFonts w:ascii="Times New Roman"/>
          <w:b w:val="false"/>
          <w:i w:val="false"/>
          <w:color w:val="000000"/>
          <w:sz w:val="28"/>
        </w:rPr>
        <w:t>
      1) results of monitoring reports and information provided by the subject of control and supervision, including through automated information systems;</w:t>
      </w:r>
    </w:p>
    <w:bookmarkEnd w:id="43"/>
    <w:bookmarkStart w:name="z55" w:id="44"/>
    <w:p>
      <w:pPr>
        <w:spacing w:after="0"/>
        <w:ind w:left="0"/>
        <w:jc w:val="both"/>
      </w:pPr>
      <w:r>
        <w:rPr>
          <w:rFonts w:ascii="Times New Roman"/>
          <w:b w:val="false"/>
          <w:i w:val="false"/>
          <w:color w:val="000000"/>
          <w:sz w:val="28"/>
        </w:rPr>
        <w:t>
      2) results of the previous inspection / preventive control and supervision with a visit to the subject of control and supervision (in this case the severity of violations (gross, significant, insignificant) shall be established in event of non-compliance with legal requirements);</w:t>
      </w:r>
    </w:p>
    <w:bookmarkEnd w:id="44"/>
    <w:bookmarkStart w:name="z56" w:id="45"/>
    <w:p>
      <w:pPr>
        <w:spacing w:after="0"/>
        <w:ind w:left="0"/>
        <w:jc w:val="both"/>
      </w:pPr>
      <w:r>
        <w:rPr>
          <w:rFonts w:ascii="Times New Roman"/>
          <w:b w:val="false"/>
          <w:i w:val="false"/>
          <w:color w:val="000000"/>
          <w:sz w:val="28"/>
        </w:rPr>
        <w:t>
      3) presence and number of confirmed (justified) complaints and appeals;</w:t>
      </w:r>
    </w:p>
    <w:bookmarkEnd w:id="45"/>
    <w:bookmarkStart w:name="z57" w:id="46"/>
    <w:p>
      <w:pPr>
        <w:spacing w:after="0"/>
        <w:ind w:left="0"/>
        <w:jc w:val="both"/>
      </w:pPr>
      <w:r>
        <w:rPr>
          <w:rFonts w:ascii="Times New Roman"/>
          <w:b w:val="false"/>
          <w:i w:val="false"/>
          <w:color w:val="000000"/>
          <w:sz w:val="28"/>
        </w:rPr>
        <w:t>
      4) results of analysis of the official Internet resources of state bodies, the media.</w:t>
      </w:r>
    </w:p>
    <w:bookmarkEnd w:id="46"/>
    <w:bookmarkStart w:name="z58" w:id="47"/>
    <w:p>
      <w:pPr>
        <w:spacing w:after="0"/>
        <w:ind w:left="0"/>
        <w:jc w:val="both"/>
      </w:pPr>
      <w:r>
        <w:rPr>
          <w:rFonts w:ascii="Times New Roman"/>
          <w:b w:val="false"/>
          <w:i w:val="false"/>
          <w:color w:val="000000"/>
          <w:sz w:val="28"/>
        </w:rPr>
        <w:t>
      6. Basing on the available information sources, subjective criteria shall be divided into three degrees of violation: gross, significant, insignificant.</w:t>
      </w:r>
    </w:p>
    <w:bookmarkEnd w:id="47"/>
    <w:bookmarkStart w:name="z59" w:id="48"/>
    <w:p>
      <w:pPr>
        <w:spacing w:after="0"/>
        <w:ind w:left="0"/>
        <w:jc w:val="both"/>
      </w:pPr>
      <w:r>
        <w:rPr>
          <w:rFonts w:ascii="Times New Roman"/>
          <w:b w:val="false"/>
          <w:i w:val="false"/>
          <w:color w:val="000000"/>
          <w:sz w:val="28"/>
        </w:rPr>
        <w:t>
      To assign the subject of control and supervision to the degree of risk, the following procedure for calculating the risk degree indicator shall be applied.</w:t>
      </w:r>
    </w:p>
    <w:bookmarkEnd w:id="48"/>
    <w:bookmarkStart w:name="z60" w:id="49"/>
    <w:p>
      <w:pPr>
        <w:spacing w:after="0"/>
        <w:ind w:left="0"/>
        <w:jc w:val="both"/>
      </w:pPr>
      <w:r>
        <w:rPr>
          <w:rFonts w:ascii="Times New Roman"/>
          <w:b w:val="false"/>
          <w:i w:val="false"/>
          <w:color w:val="000000"/>
          <w:sz w:val="28"/>
        </w:rPr>
        <w:t>
      If one gross violation is detected from the available sources of information, the risk index of 100 shall be equated to the subject of control and supervision, and preventive control and supervision shall be conducted in relation to it with a visit to the subject of control and supervision.</w:t>
      </w:r>
    </w:p>
    <w:bookmarkEnd w:id="49"/>
    <w:bookmarkStart w:name="z61" w:id="50"/>
    <w:p>
      <w:pPr>
        <w:spacing w:after="0"/>
        <w:ind w:left="0"/>
        <w:jc w:val="both"/>
      </w:pPr>
      <w:r>
        <w:rPr>
          <w:rFonts w:ascii="Times New Roman"/>
          <w:b w:val="false"/>
          <w:i w:val="false"/>
          <w:color w:val="000000"/>
          <w:sz w:val="28"/>
        </w:rPr>
        <w:t>
      In the event that no gross violations have been identified, then to determine the risk degree indicator, the total indicator for violations of a significant and insignificant degree shall be calculated.</w:t>
      </w:r>
    </w:p>
    <w:bookmarkEnd w:id="50"/>
    <w:bookmarkStart w:name="z62" w:id="51"/>
    <w:p>
      <w:pPr>
        <w:spacing w:after="0"/>
        <w:ind w:left="0"/>
        <w:jc w:val="both"/>
      </w:pPr>
      <w:r>
        <w:rPr>
          <w:rFonts w:ascii="Times New Roman"/>
          <w:b w:val="false"/>
          <w:i w:val="false"/>
          <w:color w:val="000000"/>
          <w:sz w:val="28"/>
        </w:rPr>
        <w:t>
      When determining the indicator of significant violations, a coefficient of 0.7 shall be applied and this indicator shall be calculated using the following formula:</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463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where:</w:t>
      </w:r>
    </w:p>
    <w:bookmarkEnd w:id="53"/>
    <w:bookmarkStart w:name="z6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an indicator of significant violations;</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28600"/>
                    </a:xfrm>
                    <a:prstGeom prst="rect">
                      <a:avLst/>
                    </a:prstGeom>
                  </pic:spPr>
                </pic:pic>
              </a:graphicData>
            </a:graphic>
          </wp:inline>
        </w:drawing>
      </w:r>
    </w:p>
    <w:p>
      <w:pPr>
        <w:spacing w:after="0"/>
        <w:ind w:left="0"/>
        <w:jc w:val="left"/>
      </w:pPr>
      <w:r>
        <w:rPr>
          <w:rFonts w:ascii="Times New Roman"/>
          <w:b w:val="false"/>
          <w:i w:val="false"/>
          <w:color w:val="000000"/>
          <w:sz w:val="28"/>
        </w:rPr>
        <w:t>- the required number of significant violations;</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406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215900"/>
                    </a:xfrm>
                    <a:prstGeom prst="rect">
                      <a:avLst/>
                    </a:prstGeom>
                  </pic:spPr>
                </pic:pic>
              </a:graphicData>
            </a:graphic>
          </wp:inline>
        </w:drawing>
      </w:r>
    </w:p>
    <w:p>
      <w:pPr>
        <w:spacing w:after="0"/>
        <w:ind w:left="0"/>
        <w:jc w:val="left"/>
      </w:pPr>
      <w:r>
        <w:rPr>
          <w:rFonts w:ascii="Times New Roman"/>
          <w:b w:val="false"/>
          <w:i w:val="false"/>
          <w:color w:val="000000"/>
          <w:sz w:val="28"/>
        </w:rPr>
        <w:t>- the number of identified significant violations;</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When determining the indicator of minor violations, a coefficient of 0.3 shall be applied and this indicator shall be calculated using the following formula:</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51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14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where:</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254000"/>
                    </a:xfrm>
                    <a:prstGeom prst="rect">
                      <a:avLst/>
                    </a:prstGeom>
                  </pic:spPr>
                </pic:pic>
              </a:graphicData>
            </a:graphic>
          </wp:inline>
        </w:drawing>
      </w:r>
    </w:p>
    <w:p>
      <w:pPr>
        <w:spacing w:after="0"/>
        <w:ind w:left="0"/>
        <w:jc w:val="left"/>
      </w:pPr>
      <w:r>
        <w:rPr>
          <w:rFonts w:ascii="Times New Roman"/>
          <w:b w:val="false"/>
          <w:i w:val="false"/>
          <w:color w:val="000000"/>
          <w:sz w:val="28"/>
        </w:rPr>
        <w:t>- an indicator of minor violations;</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28600"/>
                    </a:xfrm>
                    <a:prstGeom prst="rect">
                      <a:avLst/>
                    </a:prstGeom>
                  </pic:spPr>
                </pic:pic>
              </a:graphicData>
            </a:graphic>
          </wp:inline>
        </w:drawing>
      </w:r>
    </w:p>
    <w:p>
      <w:pPr>
        <w:spacing w:after="0"/>
        <w:ind w:left="0"/>
        <w:jc w:val="left"/>
      </w:pPr>
      <w:r>
        <w:rPr>
          <w:rFonts w:ascii="Times New Roman"/>
          <w:b w:val="false"/>
          <w:i w:val="false"/>
          <w:color w:val="000000"/>
          <w:sz w:val="28"/>
        </w:rPr>
        <w:t>- the required number of minor violations;</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06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the number of identified minor violations; </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The general risk degree indicator (</w:t>
      </w:r>
    </w:p>
    <w:bookmarkEnd w:id="63"/>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is calculated on a scale from 0 to 100 and is determined by summing up the indicators of significant and minor violations using the following formula:</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0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09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where:</w:t>
      </w:r>
    </w:p>
    <w:bookmarkEnd w:id="65"/>
    <w:bookmarkStart w:name="z7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a general indicator of the degree of risk;</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an indicator of significant violations;</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19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254000"/>
                    </a:xfrm>
                    <a:prstGeom prst="rect">
                      <a:avLst/>
                    </a:prstGeom>
                  </pic:spPr>
                </pic:pic>
              </a:graphicData>
            </a:graphic>
          </wp:inline>
        </w:drawing>
      </w:r>
    </w:p>
    <w:p>
      <w:pPr>
        <w:spacing w:after="0"/>
        <w:ind w:left="0"/>
        <w:jc w:val="left"/>
      </w:pPr>
      <w:r>
        <w:rPr>
          <w:rFonts w:ascii="Times New Roman"/>
          <w:b w:val="false"/>
          <w:i w:val="false"/>
          <w:color w:val="000000"/>
          <w:sz w:val="28"/>
        </w:rPr>
        <w:t>- an indicator of minor violations.</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Subjective criteria for assessing the degree of risk are given in the Appendix to these criteria.</w:t>
      </w:r>
    </w:p>
    <w:bookmarkEnd w:id="69"/>
    <w:bookmarkStart w:name="z81" w:id="70"/>
    <w:p>
      <w:pPr>
        <w:spacing w:after="0"/>
        <w:ind w:left="0"/>
        <w:jc w:val="both"/>
      </w:pPr>
      <w:r>
        <w:rPr>
          <w:rFonts w:ascii="Times New Roman"/>
          <w:b w:val="false"/>
          <w:i w:val="false"/>
          <w:color w:val="000000"/>
          <w:sz w:val="28"/>
        </w:rPr>
        <w:t>
      On the risk degree indicator, the subject of control and supervision shall be:</w:t>
      </w:r>
    </w:p>
    <w:bookmarkEnd w:id="70"/>
    <w:bookmarkStart w:name="z82" w:id="71"/>
    <w:p>
      <w:pPr>
        <w:spacing w:after="0"/>
        <w:ind w:left="0"/>
        <w:jc w:val="both"/>
      </w:pPr>
      <w:r>
        <w:rPr>
          <w:rFonts w:ascii="Times New Roman"/>
          <w:b w:val="false"/>
          <w:i w:val="false"/>
          <w:color w:val="000000"/>
          <w:sz w:val="28"/>
        </w:rPr>
        <w:t>
      1) assigned to a high degree of risk – at the indicator of the degree of risk from 61 to 100 inclusive, and with respect to it preventive control and supervision shall be carried out with a visit to the subject of control and supervision;</w:t>
      </w:r>
    </w:p>
    <w:bookmarkEnd w:id="71"/>
    <w:bookmarkStart w:name="z83" w:id="72"/>
    <w:p>
      <w:pPr>
        <w:spacing w:after="0"/>
        <w:ind w:left="0"/>
        <w:jc w:val="both"/>
      </w:pPr>
      <w:r>
        <w:rPr>
          <w:rFonts w:ascii="Times New Roman"/>
          <w:b w:val="false"/>
          <w:i w:val="false"/>
          <w:color w:val="000000"/>
          <w:sz w:val="28"/>
        </w:rPr>
        <w:t>
      2) not assigned to a high degree of risk – at the degree indicator from 0 to 60 and with respect to it no preventive control and supervision with a visit to the subject of control and supervision shall be carried out.</w:t>
      </w:r>
    </w:p>
    <w:bookmarkEnd w:id="72"/>
    <w:bookmarkStart w:name="z84" w:id="73"/>
    <w:p>
      <w:pPr>
        <w:spacing w:after="0"/>
        <w:ind w:left="0"/>
        <w:jc w:val="both"/>
      </w:pPr>
      <w:r>
        <w:rPr>
          <w:rFonts w:ascii="Times New Roman"/>
          <w:b w:val="false"/>
          <w:i w:val="false"/>
          <w:color w:val="000000"/>
          <w:sz w:val="28"/>
        </w:rPr>
        <w:t>
      In the analysis and assessment of the degree of risk, the data of subjective criteria previously taken into account and used in relation to a particular subject of control and supervision shall not be applied.</w:t>
      </w:r>
    </w:p>
    <w:bookmarkEnd w:id="73"/>
    <w:bookmarkStart w:name="z85" w:id="74"/>
    <w:p>
      <w:pPr>
        <w:spacing w:after="0"/>
        <w:ind w:left="0"/>
        <w:jc w:val="both"/>
      </w:pPr>
      <w:r>
        <w:rPr>
          <w:rFonts w:ascii="Times New Roman"/>
          <w:b w:val="false"/>
          <w:i w:val="false"/>
          <w:color w:val="000000"/>
          <w:sz w:val="28"/>
        </w:rPr>
        <w:t>
      The frequency of preventive control with a visit to the subject of control and supervision shall be determined by the criteria for assessing the degree of risk, but it shall not be more than once a year.</w:t>
      </w:r>
    </w:p>
    <w:bookmarkEnd w:id="74"/>
    <w:bookmarkStart w:name="z86" w:id="75"/>
    <w:p>
      <w:pPr>
        <w:spacing w:after="0"/>
        <w:ind w:left="0"/>
        <w:jc w:val="both"/>
      </w:pPr>
      <w:r>
        <w:rPr>
          <w:rFonts w:ascii="Times New Roman"/>
          <w:b w:val="false"/>
          <w:i w:val="false"/>
          <w:color w:val="000000"/>
          <w:sz w:val="28"/>
        </w:rPr>
        <w:t>
      The grounds for the appointment of preventive control and supervision with a visit to the subject of control and supervision shall be a semi-annual list of preventive control and supervision with a visit to the subject of control and supervision, formed on the results of the analysis and evaluation, approved by the senior official of the regulatory state body.</w:t>
      </w:r>
    </w:p>
    <w:bookmarkEnd w:id="75"/>
    <w:bookmarkStart w:name="z87" w:id="76"/>
    <w:p>
      <w:pPr>
        <w:spacing w:after="0"/>
        <w:ind w:left="0"/>
        <w:jc w:val="both"/>
      </w:pPr>
      <w:r>
        <w:rPr>
          <w:rFonts w:ascii="Times New Roman"/>
          <w:b w:val="false"/>
          <w:i w:val="false"/>
          <w:color w:val="000000"/>
          <w:sz w:val="28"/>
        </w:rPr>
        <w:t>
      Preventive control and supervision with a visit to the subject of control and supervision shall be carried out on the basis of semi-annual lists of preventive control and supervision with a visit to the subject of control and supervision, formed in accordance with paragraph 3 of Article 141 of the Code.</w:t>
      </w:r>
    </w:p>
    <w:bookmarkEnd w:id="76"/>
    <w:bookmarkStart w:name="z88" w:id="77"/>
    <w:p>
      <w:pPr>
        <w:spacing w:after="0"/>
        <w:ind w:left="0"/>
        <w:jc w:val="both"/>
      </w:pPr>
      <w:r>
        <w:rPr>
          <w:rFonts w:ascii="Times New Roman"/>
          <w:b w:val="false"/>
          <w:i w:val="false"/>
          <w:color w:val="000000"/>
          <w:sz w:val="28"/>
        </w:rPr>
        <w:t>
      Lists of preventive control and supervision with a visit to the subject of control and supervision shall be compiled with regard to the priority of the subject of control and supervision with the highest indicator of the degree of risk according to subjective criteria.</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the joint order of the Minister of industry and infrastructure development of the Republic of Kazakhstan dated 28.04.2020 No. 240 and the Minister of national economy of the Republic of Kazakhstan dated 30.04.2020 No. 34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Criteria</w:t>
            </w:r>
            <w:r>
              <w:br/>
            </w:r>
            <w:r>
              <w:rPr>
                <w:rFonts w:ascii="Times New Roman"/>
                <w:b w:val="false"/>
                <w:i w:val="false"/>
                <w:color w:val="000000"/>
                <w:sz w:val="20"/>
              </w:rPr>
              <w:t>for risk assessment degree</w:t>
            </w:r>
            <w:r>
              <w:br/>
            </w:r>
            <w:r>
              <w:rPr>
                <w:rFonts w:ascii="Times New Roman"/>
                <w:b w:val="false"/>
                <w:i w:val="false"/>
                <w:color w:val="000000"/>
                <w:sz w:val="20"/>
              </w:rPr>
              <w:t xml:space="preserve"> in the field of architecture, urban </w:t>
            </w:r>
            <w:r>
              <w:br/>
            </w:r>
            <w:r>
              <w:rPr>
                <w:rFonts w:ascii="Times New Roman"/>
                <w:b w:val="false"/>
                <w:i w:val="false"/>
                <w:color w:val="000000"/>
                <w:sz w:val="20"/>
              </w:rPr>
              <w:t xml:space="preserve">planning and construction </w:t>
            </w:r>
            <w:r>
              <w:br/>
            </w:r>
            <w:r>
              <w:rPr>
                <w:rFonts w:ascii="Times New Roman"/>
                <w:b w:val="false"/>
                <w:i w:val="false"/>
                <w:color w:val="000000"/>
                <w:sz w:val="20"/>
              </w:rPr>
              <w:t xml:space="preserve">for the activities of local executive </w:t>
            </w:r>
            <w:r>
              <w:br/>
            </w:r>
            <w:r>
              <w:rPr>
                <w:rFonts w:ascii="Times New Roman"/>
                <w:b w:val="false"/>
                <w:i w:val="false"/>
                <w:color w:val="000000"/>
                <w:sz w:val="20"/>
              </w:rPr>
              <w:t xml:space="preserve">bodies in architecture, urban </w:t>
            </w:r>
            <w:r>
              <w:br/>
            </w:r>
            <w:r>
              <w:rPr>
                <w:rFonts w:ascii="Times New Roman"/>
                <w:b w:val="false"/>
                <w:i w:val="false"/>
                <w:color w:val="000000"/>
                <w:sz w:val="20"/>
              </w:rPr>
              <w:t xml:space="preserve">planning, construction </w:t>
            </w:r>
            <w:r>
              <w:br/>
            </w:r>
            <w:r>
              <w:rPr>
                <w:rFonts w:ascii="Times New Roman"/>
                <w:b w:val="false"/>
                <w:i w:val="false"/>
                <w:color w:val="000000"/>
                <w:sz w:val="20"/>
              </w:rPr>
              <w:t xml:space="preserve">and state architectural-construction </w:t>
            </w:r>
            <w:r>
              <w:br/>
            </w:r>
            <w:r>
              <w:rPr>
                <w:rFonts w:ascii="Times New Roman"/>
                <w:b w:val="false"/>
                <w:i w:val="false"/>
                <w:color w:val="000000"/>
                <w:sz w:val="20"/>
              </w:rPr>
              <w:t>control and supervision</w:t>
            </w:r>
          </w:p>
        </w:tc>
      </w:tr>
    </w:tbl>
    <w:bookmarkStart w:name="z91" w:id="78"/>
    <w:p>
      <w:pPr>
        <w:spacing w:after="0"/>
        <w:ind w:left="0"/>
        <w:jc w:val="left"/>
      </w:pPr>
      <w:r>
        <w:rPr>
          <w:rFonts w:ascii="Times New Roman"/>
          <w:b/>
          <w:i w:val="false"/>
          <w:color w:val="000000"/>
        </w:rPr>
        <w:t xml:space="preserve"> Subjective criteria for risk assessment degree in the field of architecture, urban planning and construction for the activities of local executive bodies in architecture, urban planning, construction and state architectural construction control and supervision</w:t>
      </w:r>
    </w:p>
    <w:bookmarkEnd w:id="78"/>
    <w:bookmarkStart w:name="z92" w:id="79"/>
    <w:p>
      <w:pPr>
        <w:spacing w:after="0"/>
        <w:ind w:left="0"/>
        <w:jc w:val="both"/>
      </w:pPr>
      <w:r>
        <w:rPr>
          <w:rFonts w:ascii="Times New Roman"/>
          <w:b w:val="false"/>
          <w:i w:val="false"/>
          <w:color w:val="ff0000"/>
          <w:sz w:val="28"/>
        </w:rPr>
        <w:t>
      Footnote. Appendix - as amended by the joint order of the Minister of Industry and Infrastructure Development of the Republic of Kazakhstan No. 496 dated 26.09.2020 and the Minister of National Economy of the Republic of Kazakhstan No. 70 dated 28.09.2020, (shall be enforced upon expiry of ten calendar days after the date of its first official publication).</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Architecture, urban planning bodies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Findings of monitoring of reporting and data provided by the facility (entity), subject to control and supervision, including via automated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Non-provision of information on facilities and complexes planned for construction (information about the customer, contractor, author's and technical supervision, the presence of an expert conclusion, decision on granting the corresponding right to the  land site ) by the 5th day of the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Non-provision of information on facilities and complexes under construction (information about the customer, contractor, author's and technical supervision, the presence of an expert conclusion,  decision on granting the corresponding right to the  land site) by the 5</w:t>
            </w:r>
            <w:r>
              <w:rPr>
                <w:rFonts w:ascii="Times New Roman"/>
                <w:b w:val="false"/>
                <w:i w:val="false"/>
                <w:color w:val="000000"/>
                <w:vertAlign w:val="superscript"/>
              </w:rPr>
              <w:t>th</w:t>
            </w:r>
            <w:r>
              <w:rPr>
                <w:rFonts w:ascii="Times New Roman"/>
                <w:b w:val="false"/>
                <w:i w:val="false"/>
                <w:color w:val="000000"/>
                <w:sz w:val="20"/>
              </w:rPr>
              <w:t xml:space="preserve"> day quarterly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Findings of the previous inspection / preventive control and supervision of the facilities subject to control and supervision (in this case, the severity of violations (gross, significant, insignificant) shall be established in the event of non-compliance with the legislative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acts of objects acceptance into operation, and also objects (complexes) that are being put into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master plan projects for the  cities of republican status, the capital, cities of oblast status and rural localities of the republic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projects of detailed layouts of cities of republican status, the capital, cities of oblast status and rural localities of the republic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division of territories into functional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red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yellow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building regulation 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concept of a single architectural style envisaged for the capital, cities of republican and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urban planning requirements in the preparation of local executive bodies’ decisions on granting the required land title to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urban planning requirements in the preparation of local executive bodies’ decisions for reconstruction, redevelopment, alterations of premises (individual parts) of existing buildings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requirements for the approval of the sketch (sketch design) for construction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facilities and complexes under construction (planned for 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term for considering an application for the design of technically and (or) technologically simple facilities: for the issuance of an architectural planning assignment and technical specifications no more than 6 (six) working days, except in cases of a motivated refusal, when the term does not exceed 5 (five) working days from the day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term for consideration of an application for the design of technically and (or) technologically complex facilities: for the issuance of an architectural planning assignment and technical specifications no more than 15 (fifteen) working days, except for cases of a motivated refusal, when the term does not exceed 5 (five) working days from day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architectural planning assignment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previously issued instructions to the architecture and urban planning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master plans of settlements, plans for zoning of the territory, plans for detailed plannings, plans for industrial zones, development projects, improvement and landscaping projects, and other planning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red lines and development regulation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the agreed draft designs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Presence of confirmed complaints and claims.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 confirmed complaint and  claim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Findings of official internet resources analysis of the state bodies, mass media.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official reports in the media on violations in the architectural, town-planning and construction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architectural-construction control and supervision bodies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Findings of monitoring of reporting and data provided by the facility (entity), subject to control and supervision, including via automated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keep records of  acts of acceptance of objects into operation, as well as the objects (complexes) that are being put into operation, with obligatory consideration of providing access for the disabled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monitor facilities under construction (reconstruction, extension, improvements, overhaul) and commissioned facilities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information on planned for construction facilities and complexes (information about the customer, contractor, author's and technical supervision, presence of an expert conclusion,  decision on granting the corresponding entitlement to the land site) by the 5</w:t>
            </w:r>
            <w:r>
              <w:rPr>
                <w:rFonts w:ascii="Times New Roman"/>
                <w:b w:val="false"/>
                <w:i w:val="false"/>
                <w:color w:val="000000"/>
                <w:vertAlign w:val="superscript"/>
              </w:rPr>
              <w:t>th</w:t>
            </w:r>
            <w:r>
              <w:rPr>
                <w:rFonts w:ascii="Times New Roman"/>
                <w:b w:val="false"/>
                <w:i w:val="false"/>
                <w:color w:val="000000"/>
                <w:sz w:val="20"/>
              </w:rPr>
              <w:t xml:space="preserve"> day of the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information on facilities and complexes under construction (information about the customer, contractor, author's and technical supervision, presence of an expert conclusion, decision on granting the corresponding entitlement to the land site) by the 5</w:t>
            </w:r>
            <w:r>
              <w:rPr>
                <w:rFonts w:ascii="Times New Roman"/>
                <w:b w:val="false"/>
                <w:i w:val="false"/>
                <w:color w:val="000000"/>
                <w:vertAlign w:val="superscript"/>
              </w:rPr>
              <w:t>th</w:t>
            </w:r>
            <w:r>
              <w:rPr>
                <w:rFonts w:ascii="Times New Roman"/>
                <w:b w:val="false"/>
                <w:i w:val="false"/>
                <w:color w:val="000000"/>
                <w:sz w:val="20"/>
              </w:rPr>
              <w:t xml:space="preserve"> day quarterly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Findings of the previous inspection / preventive control and supervision of the facilities subject to control and supervision (in this case, the severity of violations (gross, significant, insignificant) shall be established in the event of non-compliance with the legislative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procedure for accepting notification on the start of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an act of disagreements, if any, between the applicant and employees of the state architectural-construction control and supervision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(reapproved) design (design and estimate) documentation on facilities under construction and constructed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project expertise conclusion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required entitlement to the land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coupon on the acceptance of notification on the start of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executed (ongoing, in progress) construction and installation works, used building materials (articles, structures) and equipment with approved design solutions and state (interstate) standards, including on ensuring durability, stableness, reliability of bearing and enclosing installations and operational qualities of buildings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license for the right to perform the relevant types of work and discrepancy between categorization of the licensed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survey works in terms of the presence in the staff of at least one engineering technician with an appropriate higher professional education and practical experience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survey works in terms of the availability of a production  site on the right of ownership (economic management or operational management) and (or) lease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survey works in terms of availability of  minimum material and technical resources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survey works in terms of availability of  instructions approved by the applicant (licensee) on the quality control system governing the proper performance of works and quality assurance (standard control, quality control of works execution)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survey works in terms of availability of the rules and instructions on the labor protection and safety system approved by the applicant (licensee) with attachment of documents confirming training of a responsible engineering technician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III licensees in terms of presence in the staff of at least one certified engineering technician with an appropriate certificate for the profile of works included in the requested subtype of the licensed type of activity and working on a permanent basis for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III licensees in terms of availability of administrative and utility premises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III licensees in terms of availability of software enabling to perform calculations, compilation and execution of graphic and other materials necessary for the declared subtype of the licensed type of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 licensees in terms of presence in the staff of at least one certified engineering technician with an appropriate certificate for the profile of works included in the requested subtype of the licensed type of activity and working on a permanent basis with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 licensees in terms of availability of administrative and utility premises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 licensees in terms of availability of software enabling to perform calculations, compilation and execution of graphic and other materials necessary for the declared subtype of the licensed type of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 licensees in terms of the licensee’s relevant work experience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II licensees in terms of availability of at least five completed construction projects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 licensees in terms of presence in the staff of at least one certified engineering technician with an appropriate certificate for the profile of work included in the requested subtype of the licensed type of activity and working on a permanent basis with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 licensees in terms of availability of administrative and utility premises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 licensees in terms of the availability of software enabling to carry out calculations, compilation and execution of graphics and other materials necessary for the declared subtype of the licensed type of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 licensees in terms of the licensee's relevant work experience for at least ten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project activities for category I licensees in terms of availability of at least ten completed construction projects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III licensees in terms of presence in the staff of at least one certified engineering technician with an appropriate certificate for the profile of works included in the requested subtype of the licensed type of activity and working on a permanent basis with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III licensees in terms of availability of a production site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III licensees in terms of availability of minimum material and technical resources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 licensees in terms of the presence in the staff of at least one certified engineering technician with an appropriate certificate for the profile of works included in the requested subtype of the licensed type of activity and working on a permanent basis with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 licensees in terms of availability of a production site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 licensees in terms of availability of minimum material and technical resources on the right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 licensees in terms of the relevant work experience of the licensee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II licensees in terms of availability of at least five completed construction projects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 licensees in terms of presence in the staff of at least one certified engineering technician with an appropriate certificate for the profile of work included in the requested subtype of the licensed type of activity and working on a permanent basis with the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 licensees in terms of availability of a production site on the basis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 licensees in terms of availability of minimum material and technical resources on the basis of ownership (economic management or operational management) and (or) lease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 licensees in terms of appropriate work experience of the licensee for at least ten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construction and installation works for category I licensees in terms of availability of at least ten completed construction projects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in the examination of urban planning, pre-design and design estimates documentation: availability of higher professional education in the relevant sections of urban planning, design and estimate documentation and work experience in the development and (or) examination of the relevant sections of urban planning, pre-design and design estimates documentation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technical supervision on objects of the first level of responsibility in terms of load-bearing and enclosing structures: availability of higher professional education in the field of construction and work experience as an expert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architectural, urban planning and construction activities when issuing a certificate to an expert of technical supervision for objects of the first level of responsibility in terms of engineering networks:</w:t>
            </w:r>
          </w:p>
          <w:p>
            <w:pPr>
              <w:spacing w:after="20"/>
              <w:ind w:left="20"/>
              <w:jc w:val="both"/>
            </w:pPr>
            <w:r>
              <w:rPr>
                <w:rFonts w:ascii="Times New Roman"/>
                <w:b w:val="false"/>
                <w:i w:val="false"/>
                <w:color w:val="000000"/>
                <w:sz w:val="20"/>
              </w:rPr>
              <w:t xml:space="preserve">availability of higher professional education in the field of construction and work experience as an expert for at least five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field of architectural, urban planning and construction activities when issuing a certificate to an expert of technical supervision for objects of the first level of responsibility in terms of technological equipment: availability of higher professional education in the field of construction and work experience as an expert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technical supervision for objects of the second and third levels of responsibility in terms of load-bearing and enclosing structures: availability of higher professional education in the field of construction and work experience in the production of construction and installation works for at least three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technical supervision for objects of the second and third levels of responsibility in terms of engineering networks: availability of professional education in the field of construction and work experience in the production of construction and installation works for at least three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technical supervision for objects of the second and third levels of responsibility in terms of technological equipment: availability of higher professional education in the field of construction and work experience in the production of construction - installation works for at least three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design supervision for objects of the first level of responsibility in terms of architecture: availability of higher professional education in the field of construction and work experience as an expert for at least three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design supervision for objects of the first level of responsibility in terms of load-bearing and enclosing structures: availability of  higher professional education in the field of construction and work experience as an expert for at least three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design supervision for objects of the second and third levels of responsibility in terms of architecture: availability of higher professional education in the field of construction and work experience in project activities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field of architectural, urban planning and construction activities when issuing a certificate to an expert of design supervision for objects of the second and third levels of responsibility in terms of load-bearing and enclosing structures: availability of higher professional education in the field of construction and work experience in the design activity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of technical survey of reliability and stability of buildings and structures: availability of higher professional education in the field of construction and work experience in project activities in calculation and design specialization for at least three years, or work experience as an expert in this area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in the examination of urban planning, pre-design and design estimates documentation for environmental impact assessment: availability of higher professional education in the relevant section and work experience for at least five years or with a higher professional education and work experience in the development and (or) examination of ecological part of urban planning, pre-design and design estimates documentation for at least ten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architectural, urban planning and construction activities when issuing a certificate to an expert in the examination of urban planning, pre-design and design estimates documentation in the field of sanitary and epidemiological welfare of the population: availability of higher medical education of a sanitary and epidemiological profile and work experience in the examination of the relevant section of urban planning, pre-design and design estimates documentation for at least five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settlements with optimal conditions and means of access for people with disabilities and other low-mobility groups to workplaces, common areas, facilities (structures, communications) of social, recreational, engineering and transport infrastructure in accordance with the type of settlement and conditions of the populated area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certificate of accreditation of legal entities carrying out technical supervision at technically and technologically complex objects of the first and second levels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presence of at least three certified experts carrying out technical supervision at objects of the first level of responsibility, including objects of the first level of responsibility - in terms of load-bearing and enclosing structures (at least one expert)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presence of at least three certified experts on a permanent basis carrying out technical supervision at objects of the first level of responsibility, including facilities of the first level of responsibility - in terms of engineering networks (at least one expert)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facilities of the first level of responsibility: presence of at least three certified experts carrying out technical supervision at objects of the first level of responsibility, including objects of the first level of responsibility - in terms of technological equipment (at least one expert)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an accredited laboratory on the basis of ownership or involved (on the basis of an agreement)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administrative and utility premises on the basis of ownership or lease for a period of more than one year, meeting the requirements for the area of ​​the premises at the rate of 6 m2 per employee, for working disabled people using wheelchairs 5.65 and 7.65 m2, respectively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material and technical resources, including measuring and control instruments necessary to perform the assigned duties and functions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standard technical and methodological literature necessary to perform the assigned duties and functions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presence of at least three certified experts on a permanent basis with a valid certificate of accreditation carrying out technical supervision at objects of the second and third levels of responsibility, including objects of the second and third levels of responsibility in terms of load-bearing and enclosing structures (at least one expert)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presence of at least three certified experts on a permanent basis with a valid certificate of accreditation carrying out technical supervision at objects of the second and third levels of responsibility, including objects of the second and third levels of responsibility in terms of engineering networks (at least one expert)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presence of at least three certified experts on a permanent basis with a valid certificate of accreditation carrying out technical supervision at objects of the second and third levels of responsibility, including objects of the second and third levels of responsibility in terms of technological equipment (at least one expert)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an accredited laboratory on the basis of ownership or involved (on the basis of an agreement)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administrative and utility premises on the basis of ownership or lease for a period of more than one year, meeting the requirements for the area of ​​the premises at the rate of 6 m2 per employee, for working disabled people using wheelchairs 5.65 and 7.65 m2, respectively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material and technical resources, including measuring and control instruments necessary to perform the assigned duties and functions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standard technical and methodological literature necessary to perform the assigned duties and functions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technical inspection of the reliability and stability of buildings and structures at technically and technologically complex objects of the first and second levels of responsibility with the established qualification requirements in terms of presence on a permanent basis of at least three certified experts with a valid certificate of accreditation carrying out technical inspection of the reliability and stability of buildings and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presence of at least one certified expert in their team on a permanent basis, carrying out expertise of projects in constructional part specialization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presence of at least one geodetic engineer (with work experience for at least three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an accredited laboratory on the basis of ownership or involved (on the basis of an agreement)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administrative premises on the basis of ownership or lease for a period of more than one year, meeting the requirements for the area of the premises at the rate of 6 m2 per employee, for working disabled people using wheelchairs 5.65 and 7.65 m2, respectively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material and technical equipment, including measuring and control instruments necessary to perform the assigned duties and functions, and also computers provided with licensed software necessary for performing calculations, drawing up and designing graphic and other materials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standard technical and methodological literature necessary to perform the assigned duties and functions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by the persons carrying out technical supervision on the state and progress of a construction object to the state architectural-construction control  and supervision body on a monthly basis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Adoption of administrative measures on the information, reported by persons carrying out technical supervision on non-execution or improper execution of their instructions by the contractor (general contractor)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and conduct of an unscheduled inspection by the state architectural-construction control and supervision bodies in relation to construction participants in response to a complaint from individuals and legal entities on specific facts of violations of the legislation of the Republic of Kazakhstan, non- elimination of which entails harm to human life and health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and conduct of preventive control and supervision by the state architectural-construction control and supervision bodies in relation to construction participants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Completeness and reliability of  reports on unscheduled inspection findings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Completeness and reliability of the order on elimination of identified violations based on the unscheduled inspection findings report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Completeness and reliability of  the resolution on imposing administrative sanctions based on the unscheduled inspection findings report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Completeness and reliability of the protocol on an administrative offense based on the unscheduled inspection findings report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Completeness and reliability of the order on elimination of identified violations based on the findings of preventive control and supervision with a visit to the subject (object) of control and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previously issued instructions to the state architectural-construction control and supervision body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Presence of confirmed complaints and claims.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 confirmed complaint or claim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Findings of the analysis of official internet resources of the state bodies, mass media.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official reports in the media on violations in the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bodies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Findings of monitoring of reporting and data provided by the facility (entity), subject to control and supervision, including via automated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Non-provision of information on the objects and complexes planned for construction (information about the customer, contractor, design and technical supervision, availability of an expert opinion,  decision on granting the corresponding entitlement to land site) by the 5th day of the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Non-provision of information on the objects and complexes under construction (information about the customer, contractor, design and technical supervision, presence of an expert opinion,  decision to grant the corresponding entitlement to land site) by the 5</w:t>
            </w:r>
            <w:r>
              <w:rPr>
                <w:rFonts w:ascii="Times New Roman"/>
                <w:b w:val="false"/>
                <w:i w:val="false"/>
                <w:color w:val="000000"/>
                <w:vertAlign w:val="superscript"/>
              </w:rPr>
              <w:t>th</w:t>
            </w:r>
            <w:r>
              <w:rPr>
                <w:rFonts w:ascii="Times New Roman"/>
                <w:b w:val="false"/>
                <w:i w:val="false"/>
                <w:color w:val="000000"/>
                <w:sz w:val="20"/>
              </w:rPr>
              <w:t xml:space="preserve"> day quarterly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Findings of the previous inspection / preventive control and supervision of the facilities subject to control and supervision (in this case, the severity of violations (gross, significant, insignificant) shall be established in the event of non-compliance with the legislative requirements).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and analysis on the submitted reports of persons carrying out technical and design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works on the object conservation, including inspection and monitoring of the state of conserved objects for more than 6 months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of state standards in terms of availability of the corresponding entitlement to land site at the objects where the construction body is the customer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of state standards in terms of availability of an architectural-planning assignment for the design of the planned object in the established form in accordance with the requirements of the current regulatory documents at the objects where the construction body is the customer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of state standards in terms of compliance with the requirements of technical regulations at the objects where the construction body is the customer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settlements with optimal conditions and means of access for people with disabilities and other low-mobility groups to workplaces, common areas, facilities (structures, communications) of social, recreational, engineering and transport infrastructure in accordance with the type of settlement and conditions of the locality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technical conditions for connection to the sources of engineering and utilities provision at the objects where the construction body is the customer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at the objects where the construction body is the customer, with the requirements of state standards in terms of availability of a report on engineering and geological surveys, if the contract does not provide for the performance of engineering surveys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permit from the relevant organizations for performing works in the area of ​​overhead power transmission lines and communication lines, in the railroad precincts, in the places of underground communications, in areas where land plots located on the construction area are worked by mining operations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permit from the relevant organizations for temporary use of electricity, gas, water, steam from existing sources during construction period in cities and other settlements in accordance with the construction organization project if the customer does not have their own gas, water, steam and power supply facilities for construction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permission from the relevant organizations for forest clearing and tree replanting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corresponding entitlement to the land site for construction, operation purposes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(re-approved) design (design and estimate) documentation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expertise conclusion on projects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coupon on acceptance of notification on the start of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decisions on construction, expansion, technical re-equipment, modernization, alteration, restoration and overhaul of buildings, constructions, structures, engineering and transport communications, also engineering preparation of the territory, improvement and landscaping, conservation of construction sites ( facilities), carrying out a set of works on post-utilization of urban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the conclusions on the expert examination of projects, state and interstate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the license for the right to carry out the performed types of works, including categorization of the licensed architectural, urban planning and construction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certified experts carrying out technical supervision and their inconsistency in the responsibility levels on the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certified experts carrying out design (author’s) supervision and their inconsistency in terms of the responsibility levels of the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the completed (current)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of acceptance control at the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Timely and proper execution of executive documentation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control over execution by the contractor of the instructions of architectural (author’s) and technical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execution of the state architectural-construction control and supervision bodies’ orders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warranty period proposed by the contractor during the tender process in accordance with the period indicated in the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of suspension of the production of works when they deviate from the design (design and estimate) documentation and regulatory requirements, and also from the terms of the concluded construction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approvals and supporting documents when making changes to the approved project documentation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procedure for acceptance (commissioning) of objects into operation: acceptance and commissioning of the constructed object when it is fully ready in accordance with the approved project and availability of a declaration of conformity, conclusions on the quality of construction and installation works and compliance of the performed work with the approved project;</w:t>
            </w:r>
          </w:p>
          <w:p>
            <w:pPr>
              <w:spacing w:after="20"/>
              <w:ind w:left="20"/>
              <w:jc w:val="both"/>
            </w:pPr>
            <w:r>
              <w:rPr>
                <w:rFonts w:ascii="Times New Roman"/>
                <w:b w:val="false"/>
                <w:i w:val="false"/>
                <w:color w:val="000000"/>
                <w:sz w:val="20"/>
              </w:rPr>
              <w:t xml:space="preserve">establishment and documentary confirmation of the readiness of the completed construction object; signing of the act of acceptance of the object into operation shall be carried out after final inspection of the object and compliance with the requirements; acceptance of the object into operation after the contractor (general contractor) has eliminated violations of the approved design solutions and state (interstate) standards in the existence of negative conclusions; directing information to state bodies for taking measures upon receipt of the conclusion of the design and (or) technical supervision on the unsuitability of the object for operation or poor-quality performance of construction and installation works; sending the act of acceptance of the object into operation to the joint-stock company State corporation "Government for Citizens" within one day after approval.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the established and documentary confirmation of the readiness of the completed construction object by the participants in the acceptance of the constructed  object into operation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the obligations by the participants in the acceptance of the object into operation in terms of assessing the conformity of the completed construction and installation works and installed technological, engineering or other equipment approved in the established manner of design (design and estimate) documentation with regulatory requirements (conditions, restrictions)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by the customer of acceptance of the object into operation after receipt from the contractor (general contractor) of a written notification of the object's readiness for commissioning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the customer’s request from the date of receipt of notification from the contractor (general contractor) on the readiness of the facility, to the contractor (general contractor) and persons carrying out technical and architectural supervision to provide a declaration of conformity, conclusions on the quality of construction and installation works and compliance of the performed works with the project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by the contractor (general contractor) and persons carrying out technical and author’s supervision of the requirement to submit, within three working days from the date of receipt from the customer of the request on providing a declaration of conformity, a conclusion on the quality of construction and installation works and compliance of the performed works with the project, or negative conclusions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check of the executive technical documentation for availability and completeness, inspection and acceptance of the object into operation according to the relevant act on the basis of the declaration of conformity, conclusions on the quality of construction and installation works and compliance of the performed works with the project together with the contractor (general contractor), persons carrying out technical and author’s (design)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Elimination of identified violations of approved design solutions and state (interstate) standards, and also in the existence of negative conclusions, acceptance of the object into operation after the contractor (general contractor) has eliminated violations as prescribed by law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forms of conclusions on the quality of construction and installation works and compliance of the performed works with the project, declaration of conformity, act of the object acceptance into operation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previously issued instructions to the construction body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Existence of confirmed complaints and claims.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claim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Findings of official internet resources analysis of the state bodies, mass media.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the media on violations in the architectural, urban planning and construction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joint order of the</w:t>
            </w:r>
            <w:r>
              <w:br/>
            </w:r>
            <w:r>
              <w:rPr>
                <w:rFonts w:ascii="Times New Roman"/>
                <w:b w:val="false"/>
                <w:i w:val="false"/>
                <w:color w:val="000000"/>
                <w:sz w:val="20"/>
              </w:rPr>
              <w:t>Minister for Investments and</w:t>
            </w:r>
            <w:r>
              <w:br/>
            </w:r>
            <w:r>
              <w:rPr>
                <w:rFonts w:ascii="Times New Roman"/>
                <w:b w:val="false"/>
                <w:i w:val="false"/>
                <w:color w:val="000000"/>
                <w:sz w:val="20"/>
              </w:rPr>
              <w:t>Development of the</w:t>
            </w:r>
            <w:r>
              <w:br/>
            </w:r>
            <w:r>
              <w:rPr>
                <w:rFonts w:ascii="Times New Roman"/>
                <w:b w:val="false"/>
                <w:i w:val="false"/>
                <w:color w:val="000000"/>
                <w:sz w:val="20"/>
              </w:rPr>
              <w:t>Republic of Kazakhstan No. 757</w:t>
            </w:r>
            <w:r>
              <w:br/>
            </w:r>
            <w:r>
              <w:rPr>
                <w:rFonts w:ascii="Times New Roman"/>
                <w:b w:val="false"/>
                <w:i w:val="false"/>
                <w:color w:val="000000"/>
                <w:sz w:val="20"/>
              </w:rPr>
              <w:t xml:space="preserve">dated October 31, 2018 </w:t>
            </w:r>
            <w:r>
              <w:br/>
            </w:r>
            <w:r>
              <w:rPr>
                <w:rFonts w:ascii="Times New Roman"/>
                <w:b w:val="false"/>
                <w:i w:val="false"/>
                <w:color w:val="000000"/>
                <w:sz w:val="20"/>
              </w:rPr>
              <w:t>and the 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 No.52</w:t>
            </w:r>
            <w:r>
              <w:br/>
            </w:r>
            <w:r>
              <w:rPr>
                <w:rFonts w:ascii="Times New Roman"/>
                <w:b w:val="false"/>
                <w:i w:val="false"/>
                <w:color w:val="000000"/>
                <w:sz w:val="20"/>
              </w:rPr>
              <w:t>dated October 31, 2018</w:t>
            </w:r>
          </w:p>
        </w:tc>
      </w:tr>
    </w:tbl>
    <w:bookmarkStart w:name="z97" w:id="80"/>
    <w:p>
      <w:pPr>
        <w:spacing w:after="0"/>
        <w:ind w:left="0"/>
        <w:jc w:val="left"/>
      </w:pPr>
      <w:r>
        <w:rPr>
          <w:rFonts w:ascii="Times New Roman"/>
          <w:b/>
          <w:i w:val="false"/>
          <w:color w:val="000000"/>
        </w:rPr>
        <w:t xml:space="preserve"> Checklist in the field of architecture, urban planning and construction in relation to the architecture and urban planning bodies</w:t>
      </w:r>
    </w:p>
    <w:bookmarkEnd w:id="80"/>
    <w:bookmarkStart w:name="z98" w:id="81"/>
    <w:p>
      <w:pPr>
        <w:spacing w:after="0"/>
        <w:ind w:left="0"/>
        <w:jc w:val="both"/>
      </w:pPr>
      <w:r>
        <w:rPr>
          <w:rFonts w:ascii="Times New Roman"/>
          <w:b w:val="false"/>
          <w:i w:val="false"/>
          <w:color w:val="ff0000"/>
          <w:sz w:val="28"/>
        </w:rPr>
        <w:t>
      Footnote. Appendix 2 - as amended by the joint order of the Minister of Industry and Infrastructure Development of the Republic of Kazakhstan No. 496 dated 26.09. 2020 and the Minister of National Economy of the Republic of Kazakhstan No. 70 dated 28.09. 2020 (shall be enforced upon expiry of ten calendar days after the date of its first official publication).</w:t>
      </w:r>
    </w:p>
    <w:bookmarkEnd w:id="81"/>
    <w:bookmarkStart w:name="z99" w:id="82"/>
    <w:p>
      <w:pPr>
        <w:spacing w:after="0"/>
        <w:ind w:left="0"/>
        <w:jc w:val="both"/>
      </w:pPr>
      <w:r>
        <w:rPr>
          <w:rFonts w:ascii="Times New Roman"/>
          <w:b w:val="false"/>
          <w:i w:val="false"/>
          <w:color w:val="000000"/>
          <w:sz w:val="28"/>
        </w:rPr>
        <w:t>
      State body that appointed the inspection _______________________________________</w:t>
      </w:r>
    </w:p>
    <w:bookmarkEnd w:id="8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Act on appointment of inspection/preventive control and supervision with a visit to the subject </w:t>
      </w:r>
    </w:p>
    <w:p>
      <w:pPr>
        <w:spacing w:after="0"/>
        <w:ind w:left="0"/>
        <w:jc w:val="both"/>
      </w:pPr>
      <w:r>
        <w:rPr>
          <w:rFonts w:ascii="Times New Roman"/>
          <w:b w:val="false"/>
          <w:i w:val="false"/>
          <w:color w:val="000000"/>
          <w:sz w:val="28"/>
        </w:rPr>
        <w:t>
      (object) of control and supervision_____________________________________________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No., date </w:t>
      </w:r>
    </w:p>
    <w:p>
      <w:pPr>
        <w:spacing w:after="0"/>
        <w:ind w:left="0"/>
        <w:jc w:val="both"/>
      </w:pPr>
      <w:r>
        <w:rPr>
          <w:rFonts w:ascii="Times New Roman"/>
          <w:b w:val="false"/>
          <w:i w:val="false"/>
          <w:color w:val="000000"/>
          <w:sz w:val="28"/>
        </w:rPr>
        <w:t>
      Name of the subject (object) of control and supervision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of the  </w:t>
      </w:r>
    </w:p>
    <w:p>
      <w:pPr>
        <w:spacing w:after="0"/>
        <w:ind w:left="0"/>
        <w:jc w:val="both"/>
      </w:pPr>
      <w:r>
        <w:rPr>
          <w:rFonts w:ascii="Times New Roman"/>
          <w:b w:val="false"/>
          <w:i w:val="false"/>
          <w:color w:val="000000"/>
          <w:sz w:val="28"/>
        </w:rPr>
        <w:t xml:space="preserve">
                         subject (object) of  control and supervision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Complying with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complying with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records of acts of objects acceptance into operation, also objects (complexes) that are being put into operation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master plan projects for the cities of republican status, the capital, cities of oblast status and rural settlements of the Republic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projects of detailed plannings for the cities of republican status, the capital, cities of oblast status, and rural settlements of the Republic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division of territories into functional zones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red 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yellow 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building regulation 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concept of a single architectural style envisaged for the capital, cities of republican and oblast status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urban planning requirements when preparing decisions of local executive bodies on granting to the applicant a corresponding entitlement to the land site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urban planning requirements when preparing decisions of local executive bodies on reconstruction, re-development, alterations of premises (individual parts) of existing buildings (structures)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requirements for approval of the sketch (sketch design) for construction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of objects and complexes under construction (planned for construction)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term for considering an application for the design of technically and (or) technologically simple objects: for the issuance of an architectural and planning assignment and technical specifications no more than 6 (six) working days, except for the cases of a motivated refusal, when the term does not exceed 5 (five) working days from the date of submitting an application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term for considering an application for the design of technically and (or) technologically complex objects: for the issuance of an architectural and planning assignment and technical specifications no more than 15 (fifteen) working days, except for the cases of a motivated refusal, when the term does not exceed 5 (five) working days  from date of submitting an application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architectural and planning assignment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previously issued instructions to the architecture and urban planning body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master plans of settlements, plans on zoning of the territory, plans for detailed plannings, improvement and landscaping projects, and other planning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to the database of the state urban planning cadastre of information on red lines and building regulation lines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the agreed draft designs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8" w:id="84"/>
    <w:p>
      <w:pPr>
        <w:spacing w:after="0"/>
        <w:ind w:left="0"/>
        <w:jc w:val="both"/>
      </w:pPr>
      <w:r>
        <w:rPr>
          <w:rFonts w:ascii="Times New Roman"/>
          <w:b w:val="false"/>
          <w:i w:val="false"/>
          <w:color w:val="000000"/>
          <w:sz w:val="28"/>
        </w:rPr>
        <w:t>
      Executive official (s) _______________________________________________</w:t>
      </w:r>
    </w:p>
    <w:bookmarkEnd w:id="84"/>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 _________________________________________________________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 _________________________________________________________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Director of the subject of control and supervision ____________________________________________________________________________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 _________________________________________________________</w:t>
      </w:r>
    </w:p>
    <w:bookmarkStart w:name="z116" w:id="85"/>
    <w:p>
      <w:pPr>
        <w:spacing w:after="0"/>
        <w:ind w:left="0"/>
        <w:jc w:val="both"/>
      </w:pPr>
      <w:r>
        <w:rPr>
          <w:rFonts w:ascii="Times New Roman"/>
          <w:b w:val="false"/>
          <w:i w:val="false"/>
          <w:color w:val="000000"/>
          <w:sz w:val="28"/>
        </w:rPr>
        <w:t xml:space="preserve">
             signature                    full name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joint order of the </w:t>
            </w:r>
            <w:r>
              <w:br/>
            </w:r>
            <w:r>
              <w:rPr>
                <w:rFonts w:ascii="Times New Roman"/>
                <w:b w:val="false"/>
                <w:i w:val="false"/>
                <w:color w:val="000000"/>
                <w:sz w:val="20"/>
              </w:rPr>
              <w:t>Minister for Investments and</w:t>
            </w:r>
            <w:r>
              <w:br/>
            </w:r>
            <w:r>
              <w:rPr>
                <w:rFonts w:ascii="Times New Roman"/>
                <w:b w:val="false"/>
                <w:i w:val="false"/>
                <w:color w:val="000000"/>
                <w:sz w:val="20"/>
              </w:rPr>
              <w:t xml:space="preserve">Development of the </w:t>
            </w:r>
            <w:r>
              <w:br/>
            </w:r>
            <w:r>
              <w:rPr>
                <w:rFonts w:ascii="Times New Roman"/>
                <w:b w:val="false"/>
                <w:i w:val="false"/>
                <w:color w:val="000000"/>
                <w:sz w:val="20"/>
              </w:rPr>
              <w:t>Republic of Kazakhstan</w:t>
            </w:r>
            <w:r>
              <w:br/>
            </w:r>
            <w:r>
              <w:rPr>
                <w:rFonts w:ascii="Times New Roman"/>
                <w:b w:val="false"/>
                <w:i w:val="false"/>
                <w:color w:val="000000"/>
                <w:sz w:val="20"/>
              </w:rPr>
              <w:t>dated October 31, 2018 No. 757</w:t>
            </w:r>
            <w:r>
              <w:br/>
            </w:r>
            <w:r>
              <w:rPr>
                <w:rFonts w:ascii="Times New Roman"/>
                <w:b w:val="false"/>
                <w:i w:val="false"/>
                <w:color w:val="000000"/>
                <w:sz w:val="20"/>
              </w:rPr>
              <w:t>and the Minister of National</w:t>
            </w:r>
            <w:r>
              <w:br/>
            </w:r>
            <w:r>
              <w:rPr>
                <w:rFonts w:ascii="Times New Roman"/>
                <w:b w:val="false"/>
                <w:i w:val="false"/>
                <w:color w:val="000000"/>
                <w:sz w:val="20"/>
              </w:rPr>
              <w:t xml:space="preserve">Economy of the </w:t>
            </w:r>
            <w:r>
              <w:br/>
            </w:r>
            <w:r>
              <w:rPr>
                <w:rFonts w:ascii="Times New Roman"/>
                <w:b w:val="false"/>
                <w:i w:val="false"/>
                <w:color w:val="000000"/>
                <w:sz w:val="20"/>
              </w:rPr>
              <w:t>Republic of Kazakhstan</w:t>
            </w:r>
            <w:r>
              <w:br/>
            </w:r>
            <w:r>
              <w:rPr>
                <w:rFonts w:ascii="Times New Roman"/>
                <w:b w:val="false"/>
                <w:i w:val="false"/>
                <w:color w:val="000000"/>
                <w:sz w:val="20"/>
              </w:rPr>
              <w:t>October 31, 2018 No. 52</w:t>
            </w:r>
          </w:p>
        </w:tc>
      </w:tr>
    </w:tbl>
    <w:bookmarkStart w:name="z118" w:id="86"/>
    <w:p>
      <w:pPr>
        <w:spacing w:after="0"/>
        <w:ind w:left="0"/>
        <w:jc w:val="left"/>
      </w:pPr>
      <w:r>
        <w:rPr>
          <w:rFonts w:ascii="Times New Roman"/>
          <w:b/>
          <w:i w:val="false"/>
          <w:color w:val="000000"/>
        </w:rPr>
        <w:t xml:space="preserve"> Checklist in the field of architecture, urban planning and construction in relation to state architectural-construction control and supervision bodies</w:t>
      </w:r>
    </w:p>
    <w:bookmarkEnd w:id="86"/>
    <w:bookmarkStart w:name="z119" w:id="87"/>
    <w:p>
      <w:pPr>
        <w:spacing w:after="0"/>
        <w:ind w:left="0"/>
        <w:jc w:val="both"/>
      </w:pPr>
      <w:r>
        <w:rPr>
          <w:rFonts w:ascii="Times New Roman"/>
          <w:b w:val="false"/>
          <w:i w:val="false"/>
          <w:color w:val="ff0000"/>
          <w:sz w:val="28"/>
        </w:rPr>
        <w:t>
      Footnote. Appendix 3 - as amended by the joint order of the Minister of industry and infrastructure development of the Republic of Kazakhstan dated 28.04.2020 No. 240 and the Minister of national economy of the Republic of Kazakhstan dated 30.04.2020 No. 34 (effective ten calendar days after the date of its first official publication).</w:t>
      </w:r>
    </w:p>
    <w:bookmarkEnd w:id="87"/>
    <w:bookmarkStart w:name="z120" w:id="88"/>
    <w:p>
      <w:pPr>
        <w:spacing w:after="0"/>
        <w:ind w:left="0"/>
        <w:jc w:val="both"/>
      </w:pPr>
      <w:r>
        <w:rPr>
          <w:rFonts w:ascii="Times New Roman"/>
          <w:b w:val="false"/>
          <w:i w:val="false"/>
          <w:color w:val="000000"/>
          <w:sz w:val="28"/>
        </w:rPr>
        <w:t>
                    State body that appointed the inspection</w:t>
      </w:r>
    </w:p>
    <w:bookmarkEnd w:id="88"/>
    <w:bookmarkStart w:name="z121"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122"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123" w:id="91"/>
    <w:p>
      <w:pPr>
        <w:spacing w:after="0"/>
        <w:ind w:left="0"/>
        <w:jc w:val="both"/>
      </w:pPr>
      <w:r>
        <w:rPr>
          <w:rFonts w:ascii="Times New Roman"/>
          <w:b w:val="false"/>
          <w:i w:val="false"/>
          <w:color w:val="000000"/>
          <w:sz w:val="28"/>
        </w:rPr>
        <w:t>
      Act on appointment of inspection/preventive control and supervision with a visit to the subject</w:t>
      </w:r>
    </w:p>
    <w:bookmarkEnd w:id="91"/>
    <w:bookmarkStart w:name="z124" w:id="92"/>
    <w:p>
      <w:pPr>
        <w:spacing w:after="0"/>
        <w:ind w:left="0"/>
        <w:jc w:val="both"/>
      </w:pPr>
      <w:r>
        <w:rPr>
          <w:rFonts w:ascii="Times New Roman"/>
          <w:b w:val="false"/>
          <w:i w:val="false"/>
          <w:color w:val="000000"/>
          <w:sz w:val="28"/>
        </w:rPr>
        <w:t>
      (object) of control and supervision_______________________________________________________________________________________________________________________________________________________ No., date</w:t>
      </w:r>
    </w:p>
    <w:bookmarkEnd w:id="92"/>
    <w:bookmarkStart w:name="z125" w:id="93"/>
    <w:p>
      <w:pPr>
        <w:spacing w:after="0"/>
        <w:ind w:left="0"/>
        <w:jc w:val="both"/>
      </w:pPr>
      <w:r>
        <w:rPr>
          <w:rFonts w:ascii="Times New Roman"/>
          <w:b w:val="false"/>
          <w:i w:val="false"/>
          <w:color w:val="000000"/>
          <w:sz w:val="28"/>
        </w:rPr>
        <w:t>
      Name of the subject (object) of control and supervision_______________________________________________________________________</w:t>
      </w:r>
    </w:p>
    <w:bookmarkEnd w:id="93"/>
    <w:bookmarkStart w:name="z126"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27" w:id="95"/>
    <w:p>
      <w:pPr>
        <w:spacing w:after="0"/>
        <w:ind w:left="0"/>
        <w:jc w:val="both"/>
      </w:pPr>
      <w:r>
        <w:rPr>
          <w:rFonts w:ascii="Times New Roman"/>
          <w:b w:val="false"/>
          <w:i w:val="false"/>
          <w:color w:val="000000"/>
          <w:sz w:val="28"/>
        </w:rPr>
        <w:t>
      (individual identification number), business identification number of the subject (object of) control and supervision _______________________________________________________________________________ _______________________________________________________________________________</w:t>
      </w:r>
    </w:p>
    <w:bookmarkEnd w:id="95"/>
    <w:bookmarkStart w:name="z128" w:id="96"/>
    <w:p>
      <w:pPr>
        <w:spacing w:after="0"/>
        <w:ind w:left="0"/>
        <w:jc w:val="both"/>
      </w:pPr>
      <w:r>
        <w:rPr>
          <w:rFonts w:ascii="Times New Roman"/>
          <w:b w:val="false"/>
          <w:i w:val="false"/>
          <w:color w:val="000000"/>
          <w:sz w:val="28"/>
        </w:rPr>
        <w:t>
      Location address __________________________________________________________ ________________________________________________________________________________</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Meets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procedure for receiving notification on the start of construction and installation works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an act of disagreements, if any, between the applicant and employees of the state architectural-construction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(reapproved) design (design and estimate) documentation for under construction and constructed objects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projects expertise conclusion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corresponding right to a land plot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coupon about the acceptance of notification on the start of construction and installation works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completed (in progress)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license for the right to carry out the relevant types of works and inconsistency of the category of licensed architectural, urban planning and construction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exploration activities in terms of presence in the staff of at least one engineer and technical worker who has an appropriate higher professional education and work experience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exploration activities in terms of availability of a production base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exploration activities in terms of availability of a minimum material and technical equipment on the basis of ownership (economic management or operational management) and (or) lease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engaging in exploration activities in terms of availability of instructions approved by the applicant (licensee) on the quality control system governing the proper performance of works and quality assurance (standard control, quality control of works production)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exploration activities in terms of availability of the rules and instructions on the labor protection and safety system approved by the applicant (licensee) with attachment of documents confirming training of a  responsible engineer and technical worker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III licensees in terms of presence in the staff of at least one certified engineering and technical worker who has an appropriate certificate for the profile of works included in the requested subspecies of the licensed type of activity and working on a permanent basis with the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category III licensees in terms of availability of administrative and utility premises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III licensees in terms of availability of software that allows to carry out  calculations, compilation and execution of graphic and other materials necessary for the declared subspecies of the licensed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 licensees in terms of presence in the staff of at least one certified engineering and technical worker who has an appropriate certificate for the profile of works included in the requested subspecies of the licensed type of activity and working on a permanent basis with the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 licensees in terms of availability  of administrative and utility premises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 licensees in terms of availability of software that allows to carry out calculations, compilation and execution of graphic and other materials necessary for the declared subspecies of the licensed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 licensees in terms of the licensee’s relevant work experience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II licensees in terms of availability of at least five completed construction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 licensees in terms of presence in the staff of at least one certified engineering and technical worker who has an appropriate certificate for the profile of work included in the requested subspecies of the licensed type of activity and working on a permanent basis with the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 licensees in terms of availability of administrative and utility premises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 licensees in terms of the availability of software that allows to carry out calculations, compilation and execution of graphics and other materials necessary for the declared subspecies of the licensed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 licensees in terms of the licensee's relevant work experience for at least ten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engaging in project activities for category I licensees in terms of availability of at least ten completed construction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III licensees in terms of presence in the staff of at least one certified engineer and technical worker who has an appropriate certificate for the profile of works included in the requested subspecies of the licensed type of activity and working on a permanent basis with the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III licensees in terms of availability of a production base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 for category III licensees in terms of availability of a minimum material and  technical equipment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 licensees in terms of presence in the staff of at least one certified engineer and technical worker who has an appropriate certificate for the profile of works included in the requested subspecies of the licensed type of activity and working on a permanent basis with the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 licensees in terms of the availability of a production base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 licensees in terms of availability of minimum material and technical equipment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 licensees in terms of the relevant work experience of the licensee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II licensees in terms of availability  of at least five completed construction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 licensees in terms of presence in the staff of at least one certified engineer and technical worker who has an appropriate certificate for the profile of work included in the requested subspecies of the licensed type of activity and working on a permanent basis with the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 licensees in terms of availability of a production base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 licensees in terms of availability of minimum material and technical equipment on the basis of ownership (economic management or operational management) and (or) lease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 licensees in terms of appropriate work experience of the licensee for at least ten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construction and installation works for category I licensees in terms of availability of at least ten completed construction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in the examination of urban planning, pre-design and design estimates documentation: availability of higher professional education in the relevant sections of urban planning, design and estimate documentation and work experience for the development and (or) examination of the relevant sections of urban planning, pre-design and design estimates documentation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xml:space="preserve">
Compliance with the Rules for certification of experts carrying out expert works and engineering services in the field of architectural, urban planning and construction activities when issuing a certificate to an expert of technical supervision for objects of the first level of responsibility in terms of load-bearing and enclosing structures: availability of </w:t>
            </w:r>
          </w:p>
          <w:bookmarkEnd w:id="97"/>
          <w:p>
            <w:pPr>
              <w:spacing w:after="20"/>
              <w:ind w:left="20"/>
              <w:jc w:val="both"/>
            </w:pPr>
            <w:r>
              <w:rPr>
                <w:rFonts w:ascii="Times New Roman"/>
                <w:b w:val="false"/>
                <w:i w:val="false"/>
                <w:color w:val="000000"/>
                <w:sz w:val="20"/>
              </w:rPr>
              <w:t>
higher professional education in the field of construction and work experience as an expert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technical supervision for objects of the first level of responsibility in terms of engineering networks:</w:t>
            </w:r>
          </w:p>
          <w:bookmarkEnd w:id="98"/>
          <w:p>
            <w:pPr>
              <w:spacing w:after="20"/>
              <w:ind w:left="20"/>
              <w:jc w:val="both"/>
            </w:pPr>
            <w:r>
              <w:rPr>
                <w:rFonts w:ascii="Times New Roman"/>
                <w:b w:val="false"/>
                <w:i w:val="false"/>
                <w:color w:val="000000"/>
                <w:sz w:val="20"/>
              </w:rPr>
              <w:t>
availability of higher professional education in the field of construction and work experience as an expert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technical supervision for objects of the first level of responsibility in terms of technological equipment: availability of a higher professional education in the field of construction and work experience as an expert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technical supervision for objects of the second and third levels of responsibility in terms of load-bearing and enclosing structures: availability of higher professional education in the field of construction and work experience in the production of construction and installation works for at least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technical supervision for objects of the second and third levels of responsibility in terms of engineering networks: availability of professional education in the field of construction and work experience in the production of construction and installation works for at least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technical supervision for objects of the second and third levels of responsibility in terms of technological equipment: availability of higher professional education in the field of construction and work experience in the production of construction - installation works for at least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architectural supervision for objects of the first level of responsibility in terms of architecture: availability of higher professional education in the field of construction and work experience as an expert for at least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architectural supervision for objects of the first level of responsibility in terms of load-bearing and enclosing structures: availability of a higher professional education in the field of construction and work experience as an expert for at least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architectural supervision for objects of the second and third levels of responsibility in terms of architecture: availability of higher professional education in the field of construction and work experience of project activities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of architectural supervision for objects of the second and third levels of responsibility in terms of load-bearing and enclosing structures: availability of higher professional education in the field of construction and work experience in the design activity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for a technical survey of reliability and stability of buildings and structures: availability of higher professional education in the field of construction and work experience in project activities in calculation and design specialization for at least three years, or work experience as an expert in this area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in the examination of urban planning, pre-design and design estimates documentation for environmental impact assessment: availability of higher professional education in the relevant section and work experience for at least five years or with a higher professional education and work experience in the development and (or) examination of ecological part of urban planning, pre-design and design estimates documentation for at least ten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Rules for certification of experts carrying out expert works and engineering services in the field of architectural, urban planning and construction activities when issuing a certificate to an expert in the examination of urban planning, pre-design and design estimates documentation in the field of sanitary and epidemiological welfare of the population: availability of higher medical education of a sanitary and epidemiological profile and work experience in the examination of the relevant section of urban planning, pre-design and design estimates documentation for at least five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settlements with optimal conditions and means of access for people with disabilities and other low-mobility groups to workplaces, common areas, facilities (structures, communications) of social, recreational, engineering and transport infrastructure in accordance with the type of settlement and conditions of this 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accreditation of legal entities carrying out technical supervision at technically and technologically complex objects  of the first and second levels of responsibility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presence of at least three certified experts carrying out technical supervision at objects of the first level of responsibility, including objects of the first level of responsibility - in terms of load-bearing and enclosing structures (at least one expert)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presence of at least three certified experts on a permanent basis carrying out technical supervision at objects of the first level of responsibility, including facilities of the first level of responsibility - in terms of engineering networks (at least one expert)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facilities of the first level of responsibility: presence of at least three certified experts carrying out technical supervision at objects of the first level of responsibility, including objects of the first level of responsibility - in terms of technological equipment (at least one expert)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an accredited laboratory on the basis of ownership or involved (on the basis of an 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administrative and utility premises on the basis of ownership or lease for a period of more than one year, meeting the requirements for the area of the premises at the rate of 6 m2 per an employee, for working disabled people using wheelchairs 5.65 and 7.65 m2, respectively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technical supervision at technically and technologically complex objects of the first level of responsibility in terms of availability of material and technical equipment, including measuring and control instruments necessary to perform the assigned duties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first level of responsibility in terms of availability of regulatory, technical and methodological literature necessary to perform the assigned duties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presence of at least three certified experts on a permanent basis with a valid certificate of accreditation carrying out technical supervision at objects of the second and third levels of responsibility, including objects of the second and third levels of responsibility – in terms of load-bearing and enclosing structures (at least one expert)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presence of at least three certified experts on a permanent basis with a valid certificate of accreditation carrying out technical supervision at objects of the second and third levels of responsibility, including objects of the second and third levels of responsibility – in terms of engineering networks (at least one expert)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presence of at least three certified experts on a permanent basis with a valid certificate of accreditation carrying out technical supervision at objects of the second and third levels of responsibility, including objects of the second and third levels of responsibility – in terms of technological equipment (at least one expert)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an accredited laboratory on the basis of ownership or involved (on the basis of an 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administrative and utility premises on the basis of ownership or lease for a period of more than one year, meeting the requirements for the area of the premises at the rate of 6 m2 per an employee, for working disabled people using wheelchairs 5.65 and 7.65 m2, respectively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material and technical equipment, including measuring and control instruments necessary to perform the assigned duties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technical supervision at technically and technologically complex objects of the first and second levels of responsibility with the established qualification requirements for carrying out technical supervision at technically and technologically complex objects of the second level of responsibility in terms of availability of normative-technical and methodological literature necessary to perform the assigned duties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expert works on technical inspection of the reliability and stability of buildings and structures at technically and technologically complex objects of the first and second levels of responsibility with the established qualification requirements in terms of presence on a permanent basis of at least three certified experts with a valid certificate of accreditation carrying out technical inspection of the reliability and stability of buildings and structures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presence of at least one certified expert in their composition on a permanent basis, carrying out expertise of projects in constructional part specialization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presence of at least one geodesist engineer (with work experience for at least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an accredited laboratory on the basis of ownership or involved (on the basis of an 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administrative premises on the basis of ownership or lease for a period of more than one year, meeting the requirements for the area of the premise at the rate of 6 m2 per an employee, for working disabled people using wheelchairs 5.65 and 7.65 m2, respectively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material and technical equipment, including measuring and control instruments necessary to perform the  assigned duties and functions, as well as computers equipped with licensed software necessary for performing calculations, drawing up and designing graphic and other materials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Compliance of accredited organizations carrying out expert works on the technical inspection of the reliability and stability of buildings and structures at technically and technologically complex objects of the first and second levels of responsibility with the established qualification requirements in terms of availability of normative-technical and methodological literature necessary to perform the assigned duties and functions</w:t>
            </w:r>
          </w:p>
          <w:bookmarkEnd w:id="99"/>
          <w:p>
            <w:pPr>
              <w:spacing w:after="20"/>
              <w:ind w:left="20"/>
              <w:jc w:val="both"/>
            </w:pPr>
            <w:r>
              <w:rPr>
                <w:rFonts w:ascii="Times New Roman"/>
                <w:b w:val="false"/>
                <w:i w:val="false"/>
                <w:color w:val="000000"/>
                <w:sz w:val="20"/>
              </w:rPr>
              <w:t>
Organization and conduct of an unscheduled inspection by the bodies of state architectural- construction control and supervision in relation to participants in construction on the basis of an appeal from individuals and legal entities on specific facts of violations of the requirements of the legislation of the Republic of Kazakhstan, non- elimination of them shall entail harm to human life and 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Submission of a report on the state and progress of an object construction to the body of state architectural and construction control and supervision on a monthly basis by the persons carrying out technical supervision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administrative measures on the submitted information of persons carrying out technical supervision for unfulfilled or improper execution of their instructions by the contractor (general contractor)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 of an unscheduled inspection by the bodies of state architectural- construction control and supervision in relation to participants in construction on the basis of an appeal from individuals and legal entities on specific facts of violations of the requirements of the legislation of the Republic of Kazakhstan, non- elimination of them shall entail harm to human life and health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 of preventive control and supervision by the bodies of state architectural-construction control and supervision in relation to construction participants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completeness and reliability in acts based on the results of an unscheduled inspection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completeness and reliability in the order on elimination of identified violations based on the results of an unscheduled inspection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completeness and reliability in the resolution on bringing to administrative responsibility based on the results of an unscheduled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completeness and reliability in the protocol on an administrative offense based on the results of an unscheduled inspection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completeness and reliability in the order on elimination of identified violations based on the results of preventive control and supervision with a visit to the subject (object) of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previously issued instructions to the body of state architectural-construction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2" w:id="100"/>
    <w:p>
      <w:pPr>
        <w:spacing w:after="0"/>
        <w:ind w:left="0"/>
        <w:jc w:val="both"/>
      </w:pPr>
      <w:r>
        <w:rPr>
          <w:rFonts w:ascii="Times New Roman"/>
          <w:b w:val="false"/>
          <w:i w:val="false"/>
          <w:color w:val="000000"/>
          <w:sz w:val="28"/>
        </w:rPr>
        <w:t>
      Official (s) ___________________________________________________</w:t>
      </w:r>
    </w:p>
    <w:bookmarkEnd w:id="100"/>
    <w:bookmarkStart w:name="z133" w:id="101"/>
    <w:p>
      <w:pPr>
        <w:spacing w:after="0"/>
        <w:ind w:left="0"/>
        <w:jc w:val="both"/>
      </w:pPr>
      <w:r>
        <w:rPr>
          <w:rFonts w:ascii="Times New Roman"/>
          <w:b w:val="false"/>
          <w:i w:val="false"/>
          <w:color w:val="000000"/>
          <w:sz w:val="28"/>
        </w:rPr>
        <w:t>
      position___________________________________________________________________</w:t>
      </w:r>
    </w:p>
    <w:bookmarkEnd w:id="101"/>
    <w:bookmarkStart w:name="z134"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35" w:id="103"/>
    <w:p>
      <w:pPr>
        <w:spacing w:after="0"/>
        <w:ind w:left="0"/>
        <w:jc w:val="both"/>
      </w:pPr>
      <w:r>
        <w:rPr>
          <w:rFonts w:ascii="Times New Roman"/>
          <w:b w:val="false"/>
          <w:i w:val="false"/>
          <w:color w:val="000000"/>
          <w:sz w:val="28"/>
        </w:rPr>
        <w:t>
                                              signature surname, name, patronymic (if any)</w:t>
      </w:r>
    </w:p>
    <w:bookmarkEnd w:id="103"/>
    <w:bookmarkStart w:name="z136" w:id="104"/>
    <w:p>
      <w:pPr>
        <w:spacing w:after="0"/>
        <w:ind w:left="0"/>
        <w:jc w:val="both"/>
      </w:pPr>
      <w:r>
        <w:rPr>
          <w:rFonts w:ascii="Times New Roman"/>
          <w:b w:val="false"/>
          <w:i w:val="false"/>
          <w:color w:val="000000"/>
          <w:sz w:val="28"/>
        </w:rPr>
        <w:t>
      ______________________________________position_____________________________</w:t>
      </w:r>
    </w:p>
    <w:bookmarkEnd w:id="104"/>
    <w:bookmarkStart w:name="z137"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38" w:id="106"/>
    <w:p>
      <w:pPr>
        <w:spacing w:after="0"/>
        <w:ind w:left="0"/>
        <w:jc w:val="both"/>
      </w:pPr>
      <w:r>
        <w:rPr>
          <w:rFonts w:ascii="Times New Roman"/>
          <w:b w:val="false"/>
          <w:i w:val="false"/>
          <w:color w:val="000000"/>
          <w:sz w:val="28"/>
        </w:rPr>
        <w:t>
                                        signature surname, name, patronymic (if any)</w:t>
      </w:r>
    </w:p>
    <w:bookmarkEnd w:id="106"/>
    <w:bookmarkStart w:name="z139" w:id="107"/>
    <w:p>
      <w:pPr>
        <w:spacing w:after="0"/>
        <w:ind w:left="0"/>
        <w:jc w:val="both"/>
      </w:pPr>
      <w:r>
        <w:rPr>
          <w:rFonts w:ascii="Times New Roman"/>
          <w:b w:val="false"/>
          <w:i w:val="false"/>
          <w:color w:val="000000"/>
          <w:sz w:val="28"/>
        </w:rPr>
        <w:t>
      Head of the subject of control and supervision _____________________________________</w:t>
      </w:r>
    </w:p>
    <w:bookmarkEnd w:id="107"/>
    <w:bookmarkStart w:name="z140" w:id="108"/>
    <w:p>
      <w:pPr>
        <w:spacing w:after="0"/>
        <w:ind w:left="0"/>
        <w:jc w:val="both"/>
      </w:pPr>
      <w:r>
        <w:rPr>
          <w:rFonts w:ascii="Times New Roman"/>
          <w:b w:val="false"/>
          <w:i w:val="false"/>
          <w:color w:val="000000"/>
          <w:sz w:val="28"/>
        </w:rPr>
        <w:t>
      position___________________________________________________________________</w:t>
      </w:r>
    </w:p>
    <w:bookmarkEnd w:id="108"/>
    <w:bookmarkStart w:name="z141" w:id="109"/>
    <w:p>
      <w:pPr>
        <w:spacing w:after="0"/>
        <w:ind w:left="0"/>
        <w:jc w:val="both"/>
      </w:pPr>
      <w:r>
        <w:rPr>
          <w:rFonts w:ascii="Times New Roman"/>
          <w:b w:val="false"/>
          <w:i w:val="false"/>
          <w:color w:val="000000"/>
          <w:sz w:val="28"/>
        </w:rPr>
        <w:t>
      _________________________________________________________________________</w:t>
      </w:r>
    </w:p>
    <w:bookmarkEnd w:id="109"/>
    <w:bookmarkStart w:name="z142" w:id="110"/>
    <w:p>
      <w:pPr>
        <w:spacing w:after="0"/>
        <w:ind w:left="0"/>
        <w:jc w:val="both"/>
      </w:pPr>
      <w:r>
        <w:rPr>
          <w:rFonts w:ascii="Times New Roman"/>
          <w:b w:val="false"/>
          <w:i w:val="false"/>
          <w:color w:val="000000"/>
          <w:sz w:val="28"/>
        </w:rPr>
        <w:t>
                                                      signature surname, name, patronymic (if any)</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joint order of the</w:t>
            </w:r>
            <w:r>
              <w:br/>
            </w:r>
            <w:r>
              <w:rPr>
                <w:rFonts w:ascii="Times New Roman"/>
                <w:b w:val="false"/>
                <w:i w:val="false"/>
                <w:color w:val="000000"/>
                <w:sz w:val="20"/>
              </w:rPr>
              <w:t>Minister for Investments and</w:t>
            </w:r>
            <w:r>
              <w:br/>
            </w:r>
            <w:r>
              <w:rPr>
                <w:rFonts w:ascii="Times New Roman"/>
                <w:b w:val="false"/>
                <w:i w:val="false"/>
                <w:color w:val="000000"/>
                <w:sz w:val="20"/>
              </w:rPr>
              <w:t>Development of the</w:t>
            </w:r>
            <w:r>
              <w:br/>
            </w:r>
            <w:r>
              <w:rPr>
                <w:rFonts w:ascii="Times New Roman"/>
                <w:b w:val="false"/>
                <w:i w:val="false"/>
                <w:color w:val="000000"/>
                <w:sz w:val="20"/>
              </w:rPr>
              <w:t>Republic of Kazakhstan No. 757</w:t>
            </w:r>
            <w:r>
              <w:br/>
            </w:r>
            <w:r>
              <w:rPr>
                <w:rFonts w:ascii="Times New Roman"/>
                <w:b w:val="false"/>
                <w:i w:val="false"/>
                <w:color w:val="000000"/>
                <w:sz w:val="20"/>
              </w:rPr>
              <w:t xml:space="preserve">dated October 31, 2018 </w:t>
            </w:r>
            <w:r>
              <w:br/>
            </w:r>
            <w:r>
              <w:rPr>
                <w:rFonts w:ascii="Times New Roman"/>
                <w:b w:val="false"/>
                <w:i w:val="false"/>
                <w:color w:val="000000"/>
                <w:sz w:val="20"/>
              </w:rPr>
              <w:t>and the 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 No.52</w:t>
            </w:r>
            <w:r>
              <w:br/>
            </w:r>
            <w:r>
              <w:rPr>
                <w:rFonts w:ascii="Times New Roman"/>
                <w:b w:val="false"/>
                <w:i w:val="false"/>
                <w:color w:val="000000"/>
                <w:sz w:val="20"/>
              </w:rPr>
              <w:t>dated October 31, 2018</w:t>
            </w:r>
          </w:p>
        </w:tc>
      </w:tr>
    </w:tbl>
    <w:bookmarkStart w:name="z144" w:id="111"/>
    <w:p>
      <w:pPr>
        <w:spacing w:after="0"/>
        <w:ind w:left="0"/>
        <w:jc w:val="left"/>
      </w:pPr>
      <w:r>
        <w:rPr>
          <w:rFonts w:ascii="Times New Roman"/>
          <w:b/>
          <w:i w:val="false"/>
          <w:color w:val="000000"/>
        </w:rPr>
        <w:t xml:space="preserve"> Checklist in the field of architecture, urban planning and construction in relation to the construction bodies</w:t>
      </w:r>
    </w:p>
    <w:bookmarkEnd w:id="111"/>
    <w:bookmarkStart w:name="z145" w:id="112"/>
    <w:p>
      <w:pPr>
        <w:spacing w:after="0"/>
        <w:ind w:left="0"/>
        <w:jc w:val="both"/>
      </w:pPr>
      <w:r>
        <w:rPr>
          <w:rFonts w:ascii="Times New Roman"/>
          <w:b w:val="false"/>
          <w:i w:val="false"/>
          <w:color w:val="ff0000"/>
          <w:sz w:val="28"/>
        </w:rPr>
        <w:t>
      Footnote. Appendix 4 - as amended by the joint order of the Minister of Industry and Infrastructure Development of the Republic of Kazakhstan No. 496 dated 26.09. 2020 and the Minister of National Economy of the Republic of Kazakhstan No. 70 dated 28.09. 2020 (shall be enforced upon expiry of ten calendar days after the date of its first official publication).</w:t>
      </w:r>
    </w:p>
    <w:bookmarkEnd w:id="112"/>
    <w:bookmarkStart w:name="z146" w:id="113"/>
    <w:p>
      <w:pPr>
        <w:spacing w:after="0"/>
        <w:ind w:left="0"/>
        <w:jc w:val="both"/>
      </w:pPr>
      <w:r>
        <w:rPr>
          <w:rFonts w:ascii="Times New Roman"/>
          <w:b w:val="false"/>
          <w:i w:val="false"/>
          <w:color w:val="000000"/>
          <w:sz w:val="28"/>
        </w:rPr>
        <w:t>
      State body that appointed the inspection _______________________________________</w:t>
      </w:r>
    </w:p>
    <w:bookmarkEnd w:id="11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Act on appointment of inspection/preventive control and supervision with a visit to the subject </w:t>
      </w:r>
    </w:p>
    <w:p>
      <w:pPr>
        <w:spacing w:after="0"/>
        <w:ind w:left="0"/>
        <w:jc w:val="both"/>
      </w:pPr>
      <w:r>
        <w:rPr>
          <w:rFonts w:ascii="Times New Roman"/>
          <w:b w:val="false"/>
          <w:i w:val="false"/>
          <w:color w:val="000000"/>
          <w:sz w:val="28"/>
        </w:rPr>
        <w:t>
      (object) of control and supervision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No., date </w:t>
      </w:r>
    </w:p>
    <w:p>
      <w:pPr>
        <w:spacing w:after="0"/>
        <w:ind w:left="0"/>
        <w:jc w:val="both"/>
      </w:pPr>
      <w:r>
        <w:rPr>
          <w:rFonts w:ascii="Times New Roman"/>
          <w:b w:val="false"/>
          <w:i w:val="false"/>
          <w:color w:val="000000"/>
          <w:sz w:val="28"/>
        </w:rPr>
        <w:t>
      Name of the subject (object) of control and supervision  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of the </w:t>
      </w:r>
    </w:p>
    <w:p>
      <w:pPr>
        <w:spacing w:after="0"/>
        <w:ind w:left="0"/>
        <w:jc w:val="both"/>
      </w:pPr>
      <w:r>
        <w:rPr>
          <w:rFonts w:ascii="Times New Roman"/>
          <w:b w:val="false"/>
          <w:i w:val="false"/>
          <w:color w:val="000000"/>
          <w:sz w:val="28"/>
        </w:rPr>
        <w:t xml:space="preserve">
      subject (object) of control and supervision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__________________________________________________________</w:t>
      </w:r>
    </w:p>
    <w:bookmarkStart w:name="z154" w:id="114"/>
    <w:p>
      <w:pPr>
        <w:spacing w:after="0"/>
        <w:ind w:left="0"/>
        <w:jc w:val="both"/>
      </w:pPr>
      <w:r>
        <w:rPr>
          <w:rFonts w:ascii="Times New Roman"/>
          <w:b w:val="false"/>
          <w:i w:val="false"/>
          <w:color w:val="000000"/>
          <w:sz w:val="28"/>
        </w:rPr>
        <w:t>
      ________________________________________________________________________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Complying with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complying with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and analysis on the reports provided by persons performing technical and author’s supervision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works on the object conservation, including inspection and monitoring of the state of conserved objects for more than 6 months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at the objects where the construction body is the customer, with the requirements of state standards in terms of availability of the corresponding entitlement to the land site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at the objects where the construction body is the customer, with the requirements of state standards in terms of availability of an architectural-planning assignment for the design of the planned object in the established form in accordance with the requirements of the current regulatory documents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at the objects where the construction body is the customer, with the requirements of state standards in terms of compliance with the technical regulations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settlements with optimal conditions and means of access for people with disabilities and other low-mobility groups to workplaces, common areas, facilities (structures, communications) of social, recreational, engineering and transport infrastructure in accordance with the type of settlement and conditions of this area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technical conditions for connection to the sources of engineering and utilities provision at the objects where the construction body is the customer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at the objects where the construction body is the customer, with the requirements of state standards in terms of availability of a report on engineering and geological surveys, if the contract does not provide for the performance of engineering surveys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permit from the relevant organizations for performing works in the area of ​​overhead power transmission lines and communication lines, in the railroad precincts, in the places of underground communications, in areas where land plots located on the construction area are worked by mining operations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permission from the relevant organizations for temporary use of electricity, gas, water, steam from existing sources during construction period in cities and other settlements in accordance with the construction organization project if the customer does not have their own gas, water, steam and power supply facilities for construction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permission from the relevant organizations for the forest clearing and trees replanting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corresponding entitlement to the land site for construction, operation purposes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(re-approved) design (design and estimate) documentation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expertise opinion for projects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coupon on acceptance of notification on the start of construction and installation works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to the database of the state urban planning cadastre of information on decisions on construction, expansion, technical re-equipment, modernization, alteration, restoration and overhaul of buildings, constructions, structures, engineering and transport communications, also engineering preparation of the territory, improvement and landscaping, conservation of construction sites ( facilities), carrying out a set of works on post-utilization of urban facilities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to the database of the state urban planning cadastre of information on conclusions on the expert examination of projects, state and interstate including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the license for the right to carry out the performed types of works, including categorization of the licensed architectural, urban planning and construction activity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certified experts carrying out technical supervision and their inconsistency in terms of the responsibility levels of the object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certified experts carrying out author’s (design) supervision and their inconsistency in terms of the responsibility levels of the object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the completed (ongoing, in progress)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of acceptance control at the object site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and proper execution of executive documentation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control over execution by the contractor of the instructions of architectural and technical supervision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execution of the orders of the state architectural-construction control and supervision bodies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warranty period proposed by the contractor during the tender process in accordance with the period indicated in the contract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of suspension of the production of works when they deviate from the design (design and estimate) documentation and regulatory requirements, as well as from the terms of the concluded construction contract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approvals and supporting documents when making changes to the approved project documentation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procedure for acceptance (commissioning) of objects into operation: acceptance and commissioning of the constructed object when it is fully ready in accordance with the approved project and availability of a declaration of conformity, conclusions on the quality of construction and installation works and compliance of the performed work with the approved project;</w:t>
            </w:r>
          </w:p>
          <w:p>
            <w:pPr>
              <w:spacing w:after="20"/>
              <w:ind w:left="20"/>
              <w:jc w:val="both"/>
            </w:pPr>
            <w:r>
              <w:rPr>
                <w:rFonts w:ascii="Times New Roman"/>
                <w:b w:val="false"/>
                <w:i w:val="false"/>
                <w:color w:val="000000"/>
                <w:sz w:val="20"/>
              </w:rPr>
              <w:t>establishment and documentary confirmation of the readiness of the completed construction object; signing of the act of acceptance of the object into operation shall be carried out after final inspection of the object and compliance with the requirements; acceptance of the object into operation after the contractor (general contractor) has eliminated violations of the approved design solutions and state (interstate) standards in the presence of negative conclusions; sending information to state bodies for taking measures upon receipt of the conclusion of the author's and (or) technical supervision on the unsuitability of the object for operation or poor-quality performance of construction and installation works; sending the act of acceptance of the object into operation to the joint-stock company State corporation "Government for Citizens" within one day after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by the participants in the acceptance of the object into operation of the established and documentary confirmation of the readiness of the completed construction object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by the participants in the acceptance of the object into operation of the obligations in terms of assessing the conformity of the completed construction and installation works and installed technological, engineering or other equipment approved in the established order of design (design and estimate) documentation with regulatory requirements (conditions, restrictions)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by the customer of acceptance of the object into operation after receiving from the contractor (general contractor) of a written notification of the object's readiness for commissioning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the customer’s request from the date of receipt of notification from the contractor (general contractor) on the readiness of the facility, to the contractor (general contractor) and persons carrying out technical and architectural supervision to provide a declaration of conformity, conclusions on the quality of construction and installation works and compliance of the performed works with the project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by the contractor (general contractor) and persons carrying out technical and author’s supervision of the requirement to submit, within three working days from the date of receipt from the customer of the request on providing a declaration of conformity, a conclusion on the quality of construction and installation works and compliance of the performed works with the project, or negative conclusions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check of the executive technical documentation for availability and completeness, inspection and acceptance of the object into operation according to the relevant act on the basis of the declaration of conformity, conclusions on the quality of construction and installation works and compliance of the performed works with the project together with the contractor (general contractor), persons carrying out technical and author’s supervision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Elimination of identified violations of approved design solutions and state (interstate) standards, and also in the existence of negative conclusions, acceptance of the object into operation after the contractor (general contractor) has eliminated violations as prescribed by law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forms of conclusions on the quality of construction and installation works and compliance of the performed works with the project, declaration of conformity, act of the object acceptance into operation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previously issued instructions to the construction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15"/>
    <w:p>
      <w:pPr>
        <w:spacing w:after="0"/>
        <w:ind w:left="0"/>
        <w:jc w:val="both"/>
      </w:pPr>
      <w:r>
        <w:rPr>
          <w:rFonts w:ascii="Times New Roman"/>
          <w:b w:val="false"/>
          <w:i w:val="false"/>
          <w:color w:val="000000"/>
          <w:sz w:val="28"/>
        </w:rPr>
        <w:t>
      Executive official (s) _______________________________________________</w:t>
      </w:r>
    </w:p>
    <w:bookmarkEnd w:id="115"/>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 _________________________________________________________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 _________________________________________________________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both"/>
      </w:pPr>
      <w:r>
        <w:rPr>
          <w:rFonts w:ascii="Times New Roman"/>
          <w:b w:val="false"/>
          <w:i w:val="false"/>
          <w:color w:val="000000"/>
          <w:sz w:val="28"/>
        </w:rPr>
        <w:t xml:space="preserve">
      Director of the subject </w:t>
      </w:r>
    </w:p>
    <w:p>
      <w:pPr>
        <w:spacing w:after="0"/>
        <w:ind w:left="0"/>
        <w:jc w:val="both"/>
      </w:pPr>
      <w:r>
        <w:rPr>
          <w:rFonts w:ascii="Times New Roman"/>
          <w:b w:val="false"/>
          <w:i w:val="false"/>
          <w:color w:val="000000"/>
          <w:sz w:val="28"/>
        </w:rPr>
        <w:t>
      of control and supervision ____________________________________________________</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_________________ _________________________________________________________</w:t>
      </w:r>
    </w:p>
    <w:p>
      <w:pPr>
        <w:spacing w:after="0"/>
        <w:ind w:left="0"/>
        <w:jc w:val="both"/>
      </w:pPr>
      <w:r>
        <w:rPr>
          <w:rFonts w:ascii="Times New Roman"/>
          <w:b w:val="false"/>
          <w:i w:val="false"/>
          <w:color w:val="000000"/>
          <w:sz w:val="28"/>
        </w:rPr>
        <w:t xml:space="preserve">
             signature                    full name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